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condiciones específicas Invitaciones Focalizadas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7050"/>
        <w:tblGridChange w:id="0">
          <w:tblGrid>
            <w:gridCol w:w="3345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invitación focalizada: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Comunidad o pueblo étnico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de la ejecución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color w:val="a6a6a6"/>
                <w:sz w:val="18"/>
                <w:szCs w:val="18"/>
                <w:highlight w:val="white"/>
                <w:rtl w:val="0"/>
              </w:rPr>
              <w:t xml:space="preserve">(Señale la comunidad o pueblo que ejecutara la PIAA)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o área: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Misional responsable: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CDP: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incentivos: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individual del incentivo: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de los recursos: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Comité de recomendación: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highlight w:val="white"/>
                <w:rtl w:val="0"/>
              </w:rPr>
              <w:t xml:space="preserve">(Describa por quienes está integrado el comité de recomendación)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331" w:lineRule="auto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envío a aprobación - Dirección de Fomento: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331" w:lineRule="auto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envío proyección Resolución de apertura: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331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apertura y envió carta de invitación: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31" w:lineRule="auto"/>
              <w:rPr>
                <w:b w:val="1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highlight w:val="white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331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cierre: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31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highlight w:val="white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331" w:lineRule="auto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inicio de verificación: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331" w:lineRule="auto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final de verificación: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331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publicación de listado de habilitados, no habilitados y documentos por subsanar (si aplica):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331" w:lineRule="auto"/>
              <w:rPr>
                <w:b w:val="1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highlight w:val="white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331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máxima de subsanación: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331" w:lineRule="auto"/>
              <w:rPr>
                <w:b w:val="1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highlight w:val="white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331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verificación de la subsanación: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331" w:lineRule="auto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Periodo de recomendaciones: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331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Publicación de Resolución de recomendación.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331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highlight w:val="white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331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máxima de ejecución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331" w:lineRule="auto"/>
              <w:rPr>
                <w:b w:val="1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highlight w:val="white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331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-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10"/>
        <w:tblGridChange w:id="0">
          <w:tblGrid>
            <w:gridCol w:w="104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Invitación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Formulario de presentación de la iniciativa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Nombre del coordinador de la iniciativa (diligenciar en caso de que sea diferente al representante legal).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Número de teléfono fijo y celular del coordinador de la iniciativa.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Correo electrónico del coordinador de la iniciativa.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Trayectoria de la organización: describa las principales iniciativas o proyectos que ha realizado la organización.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Antecedentes de la iniciativa o acción.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Objetivo general de la iniciativa: ¿Cuál es el propósito central de la iniciativa?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Objetivos específicos. Enuncie máximo tres (3) propósitos concretos que permitan dar cumplimiento al objetivo general.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Descripción de actividades (fases, ciclos, temas, talleres, círculos de la palabra, conmemoraciones, encuentros, muestras culturales, etc.).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Beneficiarios. Seleccione el o los grupos etáreos que beneficiará con la iniciativa.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Infancia. De 0 a 12 años.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Adolescencia. De 12 a 17 años.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Juventud. De 14 a 28 años.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Adultez. De 28 a 59 años.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Personas de 60 años en adelante.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Localidad o localidades donde se ejecutará la iniciativa. Seleccione 1 o varias opciones.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requeridos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a6a6a6"/>
                <w:sz w:val="18"/>
                <w:szCs w:val="18"/>
                <w:rtl w:val="0"/>
              </w:rPr>
              <w:t xml:space="preserve">Cronograma: </w:t>
            </w: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diligencie los tiempos de ejecución en el formato de cronograma y adjúntelo en un documento PDF.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a6a6a6"/>
                <w:sz w:val="18"/>
                <w:szCs w:val="18"/>
                <w:rtl w:val="0"/>
              </w:rPr>
              <w:t xml:space="preserve">Presupuesto:</w:t>
            </w: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 diligencie el presupuesto en el formato dispuesto para tal fin y adjúntelo en un documento PDF.. Para hacer el presupuesto, tenga en cuenta la Guía de presupuesto (VER ANEXOS) y los gastos aceptables y no aceptables que se establecen en este documento.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a6a6a6"/>
                <w:sz w:val="18"/>
                <w:szCs w:val="18"/>
                <w:rtl w:val="0"/>
              </w:rPr>
              <w:t xml:space="preserve">Registro Único Tributario</w:t>
            </w: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: Adjunte el Registro Único Tributario - RUT de la persona jurídica.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Proceso de selección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Presentación de la iniciativa: </w:t>
            </w: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inscripción y presentación por medio de la plataforma invitaciones.srcd.gov.co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Verificación: </w:t>
            </w: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revisión por parte de la entidad de la documentación administrativa y técnica de la iniciativa presentada, teniendo en cuenta los siguientes criterios, esto quedara consignado en una planilla: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left="720" w:firstLine="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2"/>
              </w:numPr>
              <w:shd w:fill="ffffff" w:val="clear"/>
              <w:spacing w:line="240" w:lineRule="auto"/>
              <w:ind w:left="144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Cumplimiento del marco normativo.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2"/>
              </w:numPr>
              <w:shd w:fill="ffffff" w:val="clear"/>
              <w:spacing w:line="240" w:lineRule="auto"/>
              <w:ind w:left="144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Viabilidad de la iniciativa de acuerdo al cronograma y presupuesto.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2"/>
              </w:numPr>
              <w:shd w:fill="ffffff" w:val="clear"/>
              <w:spacing w:line="240" w:lineRule="auto"/>
              <w:ind w:left="144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Contribución al fortalecimiento de la pervivencia cultural del pueblo étnico. </w:t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line="240" w:lineRule="auto"/>
              <w:ind w:left="1440" w:firstLine="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Solicitud de Subsanación: </w:t>
            </w: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la entidad solicitará de ser necesario la implementación de ajustes a la iniciativa por parte del proponente, de acuerdo a la revisión previa realizada por la entidad y ésta será remitida a través de la plataforma al correo inscrito.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ind w:left="720" w:firstLine="0"/>
              <w:jc w:val="both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Subsanación por parte de los proponentes:</w:t>
            </w: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 los proponentes deberán subsanar la documentación administrativa e implementar a la iniciativa las mejoras correspondientes, únicamente en esta plataforma, de la siguiente manera:</w:t>
            </w:r>
          </w:p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line="240" w:lineRule="auto"/>
              <w:ind w:left="720" w:firstLine="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1"/>
                <w:numId w:val="2"/>
              </w:numPr>
              <w:shd w:fill="ffffff" w:val="clear"/>
              <w:spacing w:line="476" w:lineRule="auto"/>
              <w:ind w:left="144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 Iniciar sesión.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2"/>
              </w:numPr>
              <w:shd w:fill="ffffff" w:val="clear"/>
              <w:spacing w:line="476" w:lineRule="auto"/>
              <w:ind w:left="144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 Ingresar a la opción MIS POSTULACIONES, ubicada en el menú superior.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2"/>
              </w:numPr>
              <w:shd w:fill="ffffff" w:val="clear"/>
              <w:spacing w:line="476" w:lineRule="auto"/>
              <w:ind w:left="144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 Ingresar a la opción VER MI INICIATIVA, ubicada en el recuadro de la invitación respectiva.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2"/>
              </w:numPr>
              <w:shd w:fill="ffffff" w:val="clear"/>
              <w:spacing w:line="476" w:lineRule="auto"/>
              <w:ind w:left="144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 Ingresar a la opción EDITAR.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1"/>
                <w:numId w:val="2"/>
              </w:numPr>
              <w:shd w:fill="ffffff" w:val="clear"/>
              <w:spacing w:line="476" w:lineRule="auto"/>
              <w:ind w:left="144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 Cargar los documentos e información respectiva de subsanación.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1"/>
                <w:numId w:val="2"/>
              </w:numPr>
              <w:shd w:fill="ffffff" w:val="clear"/>
              <w:spacing w:line="476" w:lineRule="auto"/>
              <w:ind w:left="144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 Hacer click en la opción GUARDAR.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Recomendación:</w:t>
            </w: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 La entidad conformará un comité para revisar y retroalimentar la iniciativa después del periodo de subsanación y realizará observaciones y recomendaciones de ser necesario, esto quedará en el acta de recomendación, las cuales deberán ser acogidas por el proponente al momento de la ejecución. </w:t>
            </w:r>
          </w:p>
          <w:p w:rsidR="00000000" w:rsidDel="00000000" w:rsidP="00000000" w:rsidRDefault="00000000" w:rsidRPr="00000000" w14:paraId="0000006A">
            <w:pPr>
              <w:widowControl w:val="0"/>
              <w:ind w:left="720" w:firstLine="0"/>
              <w:jc w:val="both"/>
              <w:rPr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Notificación de adjudicación: </w:t>
            </w:r>
            <w:r w:rsidDel="00000000" w:rsidR="00000000" w:rsidRPr="00000000">
              <w:rPr>
                <w:color w:val="999999"/>
                <w:sz w:val="18"/>
                <w:szCs w:val="18"/>
                <w:rtl w:val="0"/>
              </w:rPr>
              <w:t xml:space="preserve">envío de correo electrónico al proponente seleccionado del acto administrativo por medio del cual se acoge la recomendación del comité, el cual quedará en firme a los diez (10) días hábiles. Al recibir el correo electrónico, los proponentes seleccionados deberán manifestar en un plazo de diez (10) días de forma expresa si aceptan o no el incentivo y remitir los documentos para la legalización del incentivo.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jc w:val="both"/>
              <w:rPr>
                <w:b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88" w:lineRule="auto"/>
              <w:ind w:left="1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Beneficios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331" w:lineRule="auto"/>
              <w:ind w:left="141" w:firstLine="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Recibir el incentivo económico correspondiente, en los siguientes porcentajes:</w:t>
            </w:r>
          </w:p>
          <w:p w:rsidR="00000000" w:rsidDel="00000000" w:rsidP="00000000" w:rsidRDefault="00000000" w:rsidRPr="00000000" w14:paraId="0000006F">
            <w:pPr>
              <w:widowControl w:val="0"/>
              <w:ind w:left="141" w:firstLine="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Un primer desembolso equivalente al noventa por ciento (90%) del valor total del incentivo, una vez notificada la resolución que otorga el incentivo, y previo cumplimiento de los requisitos exigidos para tales efectos en dicho acto administrativo.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714" w:firstLine="0"/>
              <w:jc w:val="both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Un segundo y último desembolso equivalente al diez por ciento (10%) del valor total del incentivo, previo cumplimiento de todos los compromisos por parte del proponente seleccionado y la presentación de un informe final de actividades con sus respectivos soportes, con la correspondiente certificación de cumplimiento por parte de la SCRD.</w:t>
            </w:r>
          </w:p>
          <w:p w:rsidR="00000000" w:rsidDel="00000000" w:rsidP="00000000" w:rsidRDefault="00000000" w:rsidRPr="00000000" w14:paraId="00000073">
            <w:pPr>
              <w:widowControl w:val="0"/>
              <w:ind w:left="141" w:firstLine="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b w:val="1"/>
                <w:color w:val="a6a6a6"/>
                <w:sz w:val="18"/>
                <w:szCs w:val="18"/>
                <w:rtl w:val="0"/>
              </w:rPr>
              <w:t xml:space="preserve">Nota:</w:t>
            </w: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 los desembolsos se harán previa certificación de cumplimiento expedida por la entidad otorgante, y estarán sujetos a la disponibilidad de recursos y a la programación de pagos que realice la entidad en el Programa Anual de Caja –PAC–. Al incentivo se le realizarán las retenciones que apliquen según la normatividad vigente y deberá ser asumido por el proponente seleccionado, dependiendo de su calidad tributaria.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88" w:lineRule="auto"/>
              <w:ind w:left="1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Compromisos de los seleccionados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Una vez notificado vía correo electrónico el acto administrativo por medio del cual se acoge la recomendación del comité de selección, éste quedará en firme a los diez (10) días hábiles. Al recibir el correo electrónico, los proponentes seleccionados deberán manifestar en un plazo de diez (10) días de forma expresa si aceptan o no el incentivo.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Expedir la póliza de cumplimiento de disposiciones legales constituida a favor de la SCRD en una compañía de seguros legalmente establecida en Colombia, que ampare el riesgo por el treinta por ciento (30%) del valor total del incentivo, con una vigencia igual a la fecha límite de ejecución del mismo y cuatro (4) meses más. Las pólizas deberán estar acompañadas del soporte de pago y de las condiciones generales que la rigen. La póliza se deberá constituir a favor de la</w:t>
            </w:r>
            <w:r w:rsidDel="00000000" w:rsidR="00000000" w:rsidRPr="00000000">
              <w:rPr>
                <w:b w:val="1"/>
                <w:color w:val="a6a6a6"/>
                <w:sz w:val="18"/>
                <w:szCs w:val="18"/>
                <w:rtl w:val="0"/>
              </w:rPr>
              <w:t xml:space="preserve"> Secretaría de Cultura, Recreación y Deporte (NIT: 900413030-9).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Si en su iniciativa se desarrollan actividades en eventos sociales, ferias, exposiciones, instalaciones sociales y deportivas entre otras, el beneficiario deberá constituir una póliza de Responsabilidad Civil Extracontractual, por el valor correspondiente a doscientos (200) salarios mínimos legales vigentes y por el término de vigencia de la iniciativa a favor de la SCRD.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Acoger las recomendaciones de carácter técnico que proponga el comité de selección de la SCRD, para lo cual el proponente seleccionado deberá entregar el plan de mejora correspondiente.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Asistir a las reuniones, encuentros, visitas y demás convocadas por la SCRD.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Tramitar los permisos y autorizaciones pertinentes para la realización de las actividades en el marco de la ejecución de la iniciativa, en caso de ser requeridos.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En caso de que la iniciativa se trate de una intervención en espacio público, será obligación del ganador cumplir con la normativa vigente y gestionar los permisos correspondientes frente a las autoridades competentes para llevar a cabo su iniciativa.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Incluir según manual de uso </w:t>
            </w:r>
            <w:r w:rsidDel="00000000" w:rsidR="00000000" w:rsidRPr="00000000">
              <w:rPr>
                <w:i w:val="1"/>
                <w:color w:val="a6a6a6"/>
                <w:sz w:val="18"/>
                <w:szCs w:val="18"/>
                <w:rtl w:val="0"/>
              </w:rPr>
              <w:t xml:space="preserve">(VER ANEXOS)</w:t>
            </w: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, los logos del SCDR y de la Alcaldía de Bogotá en todas las piezas de comunicación relacionadas con la iniciativa.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Entregar un informe final que incluya: 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4"/>
              </w:numPr>
              <w:ind w:left="144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Los listados de asistencia que contengan (fecha, hora, lugar, nombre del evento, responsable y el nombre de la SCRD).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4"/>
              </w:numPr>
              <w:ind w:left="144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Registro fotográfico y audiovisual de máximo 2 minutos (puede realizarse con cámara de celular).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4"/>
              </w:numPr>
              <w:ind w:left="1440" w:hanging="360"/>
              <w:rPr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Evaluación enviada por la entidad, complementamente diligenciada con firma de la autoridad étnica responsable. 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4"/>
              </w:numPr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Los demás que solicite la entidad.</w:t>
            </w:r>
            <w:r w:rsidDel="00000000" w:rsidR="00000000" w:rsidRPr="00000000">
              <w:rPr>
                <w:color w:val="a6a6a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12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2610"/>
        <w:gridCol w:w="2670"/>
        <w:gridCol w:w="2670"/>
        <w:tblGridChange w:id="0">
          <w:tblGrid>
            <w:gridCol w:w="2550"/>
            <w:gridCol w:w="2610"/>
            <w:gridCol w:w="2670"/>
            <w:gridCol w:w="2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Aprobó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Aprobó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312" w:lineRule="auto"/>
              <w:rPr/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312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312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312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312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Área misional encargada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312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Área misional encargada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312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Director Área misional encargada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de Fomento</w:t>
            </w:r>
          </w:p>
        </w:tc>
      </w:tr>
    </w:tbl>
    <w:p w:rsidR="00000000" w:rsidDel="00000000" w:rsidP="00000000" w:rsidRDefault="00000000" w:rsidRPr="00000000" w14:paraId="00000091">
      <w:pPr>
        <w:spacing w:line="312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tbl>
    <w:tblPr>
      <w:tblStyle w:val="Table4"/>
      <w:tblW w:w="10206.0" w:type="dxa"/>
      <w:jc w:val="left"/>
      <w:tblInd w:w="-572.0" w:type="dxa"/>
      <w:tblBorders>
        <w:top w:color="000000" w:space="0" w:sz="4" w:val="single"/>
        <w:left w:color="000000" w:space="0" w:sz="4" w:val="single"/>
        <w:bottom w:color="000000" w:space="0" w:sz="4" w:val="single"/>
        <w:insideH w:color="000000" w:space="0" w:sz="4" w:val="single"/>
      </w:tblBorders>
      <w:tblLayout w:type="fixed"/>
      <w:tblLook w:val="0400"/>
    </w:tblPr>
    <w:tblGrid>
      <w:gridCol w:w="2050"/>
      <w:gridCol w:w="5605"/>
      <w:gridCol w:w="2551"/>
      <w:tblGridChange w:id="0">
        <w:tblGrid>
          <w:gridCol w:w="2050"/>
          <w:gridCol w:w="5605"/>
          <w:gridCol w:w="2551"/>
        </w:tblGrid>
      </w:tblGridChange>
    </w:tblGrid>
    <w:tr>
      <w:trPr>
        <w:cantSplit w:val="0"/>
        <w:trHeight w:val="20" w:hRule="atLeast"/>
        <w:tblHeader w:val="0"/>
      </w:trPr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866775" cy="825500"/>
                <wp:effectExtent b="0" l="0" r="0" t="0"/>
                <wp:docPr id="147615879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GESTIÓN DE PROMOCIÓN DE AGENTES Y PRÁCTICAS CULTURALES Y RECREODEPORTIVAS</w:t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CÓDIGO: PCR-PR-24-FR-05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right="1020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VERSIÓN: 0</w:t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highlight w:val="white"/>
              <w:rtl w:val="0"/>
            </w:rPr>
            <w:t xml:space="preserve">CONDICIONES ESPECÍFICAS INVITACIONES </w:t>
          </w:r>
          <w:r w:rsidDel="00000000" w:rsidR="00000000" w:rsidRPr="00000000">
            <w:rPr>
              <w:highlight w:val="white"/>
              <w:rtl w:val="0"/>
            </w:rPr>
            <w:t xml:space="preserve">CULTURALES</w:t>
          </w:r>
          <w:r w:rsidDel="00000000" w:rsidR="00000000" w:rsidRPr="00000000">
            <w:rPr>
              <w:color w:val="000000"/>
              <w:highlight w:val="white"/>
              <w:rtl w:val="0"/>
            </w:rPr>
            <w:t xml:space="preserve"> FOCALIZADAS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right="1020"/>
            <w:rPr>
              <w:color w:val="000000"/>
              <w:highlight w:val="yellow"/>
            </w:rPr>
          </w:pPr>
          <w:r w:rsidDel="00000000" w:rsidR="00000000" w:rsidRPr="00000000">
            <w:rPr>
              <w:color w:val="000000"/>
              <w:rtl w:val="0"/>
            </w:rPr>
            <w:t xml:space="preserve">FECHA: 26/11/2024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09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Página </w:t>
          </w:r>
          <w:r w:rsidDel="00000000" w:rsidR="00000000" w:rsidRPr="00000000">
            <w:rPr>
              <w:b w:val="1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rtl w:val="0"/>
            </w:rPr>
            <w:t xml:space="preserve"> de </w:t>
          </w:r>
          <w:r w:rsidDel="00000000" w:rsidR="00000000" w:rsidRPr="00000000">
            <w:rPr>
              <w:b w:val="1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F94D7C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94D7C"/>
  </w:style>
  <w:style w:type="paragraph" w:styleId="Piedepgina">
    <w:name w:val="footer"/>
    <w:basedOn w:val="Normal"/>
    <w:link w:val="PiedepginaCar"/>
    <w:uiPriority w:val="99"/>
    <w:unhideWhenUsed w:val="1"/>
    <w:rsid w:val="00F94D7C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94D7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ZhktPaoWjal+/Egzt/n+uRtwA==">CgMxLjA4AHIhMXpVbmM4S2pZQjVuTGJsbFowdGZyU0JwZGp4WkZ3VmQ2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2024-01-04T23:32:00Z</dcterms:created>
</cp:coreProperties>
</file>