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93"/>
        <w:gridCol w:w="5969"/>
        <w:tblGridChange w:id="0">
          <w:tblGrid>
            <w:gridCol w:w="3993"/>
            <w:gridCol w:w="596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convocatoria: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del ganador(a):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propuesta o iniciativa: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de entrega: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A partir de la retroalimentación, sugerencias y recomendaciones de los jurados se establece el siguiente Plan de Mejora: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color w:val="a6a6a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a6a6a6"/>
          <w:sz w:val="20"/>
          <w:szCs w:val="20"/>
          <w:rtl w:val="0"/>
        </w:rPr>
        <w:t xml:space="preserve">Se deben priorizan los aspectos a mejorar por relevancia y orden cronológico: </w:t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"/>
        <w:gridCol w:w="2251"/>
        <w:gridCol w:w="1948"/>
        <w:gridCol w:w="1494"/>
        <w:gridCol w:w="1514"/>
        <w:gridCol w:w="2152"/>
        <w:tblGridChange w:id="0">
          <w:tblGrid>
            <w:gridCol w:w="603"/>
            <w:gridCol w:w="2251"/>
            <w:gridCol w:w="1948"/>
            <w:gridCol w:w="1494"/>
            <w:gridCol w:w="1514"/>
            <w:gridCol w:w="2152"/>
          </w:tblGrid>
        </w:tblGridChange>
      </w:tblGrid>
      <w:tr>
        <w:trPr>
          <w:cantSplit w:val="0"/>
          <w:trHeight w:val="1540" w:hRule="atLeast"/>
          <w:tblHeader w:val="1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Aspecto a mejorar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(Relaciona en cada casilla las observaciones realizadas por los jurados que requieren formular y ejecutar acciones o actividades de mejora)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Acciones de ajuste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(Enuncia las acciones o actividades que realizarás para acoger la recomendación de los jurados)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de Inicio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(Establece la fecha en que inician las acciones o actividades de mejora)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Máxima de Ajuste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(Establece la fecha en que finalizan las acciones o actividades de mejora)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Evidencias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(Indica los títulos de los anexos donde se encuentran las acciones o actividades de mejora desarrolladas con detalle)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Aprobado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Aprobado por: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962.0" w:type="dxa"/>
      <w:jc w:val="left"/>
      <w:tblBorders>
        <w:top w:color="5b9bd5" w:space="0" w:sz="4" w:val="single"/>
        <w:left w:color="5b9bd5" w:space="0" w:sz="4" w:val="single"/>
        <w:bottom w:color="5b9bd5" w:space="0" w:sz="4" w:val="single"/>
        <w:right w:color="5b9bd5" w:space="0" w:sz="4" w:val="single"/>
        <w:insideH w:color="5b9bd5" w:space="0" w:sz="4" w:val="single"/>
        <w:insideV w:color="5b9bd5" w:space="0" w:sz="4" w:val="single"/>
      </w:tblBorders>
      <w:tblLayout w:type="fixed"/>
      <w:tblLook w:val="0400"/>
    </w:tblPr>
    <w:tblGrid>
      <w:gridCol w:w="1271"/>
      <w:gridCol w:w="6380"/>
      <w:gridCol w:w="2311"/>
      <w:tblGridChange w:id="0">
        <w:tblGrid>
          <w:gridCol w:w="1271"/>
          <w:gridCol w:w="6380"/>
          <w:gridCol w:w="2311"/>
        </w:tblGrid>
      </w:tblGridChange>
    </w:tblGrid>
    <w:tr>
      <w:trPr>
        <w:cantSplit w:val="0"/>
        <w:trHeight w:val="469" w:hRule="atLeast"/>
        <w:tblHeader w:val="0"/>
      </w:trPr>
      <w:tc>
        <w:tcPr>
          <w:vMerge w:val="restart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ind w:left="142" w:firstLine="0"/>
            <w:jc w:val="both"/>
            <w:rPr>
              <w:color w:val="00000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43179</wp:posOffset>
                </wp:positionH>
                <wp:positionV relativeFrom="paragraph">
                  <wp:posOffset>50802</wp:posOffset>
                </wp:positionV>
                <wp:extent cx="622304" cy="592458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4" cy="592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highlight w:val="white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highlight w:val="white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color w:val="000000"/>
              <w:highlight w:val="white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 PCR-PR-06-FR-05</w:t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Versión: 0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7">
          <w:pPr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PLAN DE MEJORA DE GANADORES(AS)</w:t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28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11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/202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527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nhideWhenUsed w:val="1"/>
    <w:rsid w:val="000F527E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0F527E"/>
  </w:style>
  <w:style w:type="paragraph" w:styleId="Piedepgina">
    <w:name w:val="footer"/>
    <w:basedOn w:val="Normal"/>
    <w:link w:val="PiedepginaCar"/>
    <w:uiPriority w:val="99"/>
    <w:unhideWhenUsed w:val="1"/>
    <w:rsid w:val="000F527E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0F527E"/>
  </w:style>
  <w:style w:type="table" w:styleId="Tablaconcuadrcula">
    <w:name w:val="Table Grid"/>
    <w:basedOn w:val="Tablanormal"/>
    <w:uiPriority w:val="39"/>
    <w:rsid w:val="000F52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ray3" w:customStyle="1">
    <w:name w:val="gray3"/>
    <w:basedOn w:val="Normal"/>
    <w:rsid w:val="001243F9"/>
    <w:pPr>
      <w:autoSpaceDE w:val="0"/>
      <w:autoSpaceDN w:val="0"/>
      <w:spacing w:line="200" w:lineRule="atLeast"/>
    </w:pPr>
    <w:rPr>
      <w:rFonts w:ascii="Mangal" w:cs="Mangal" w:eastAsia="Microsoft YaHei" w:hAnsi="Mangal"/>
      <w:kern w:val="3"/>
      <w:sz w:val="36"/>
      <w:szCs w:val="36"/>
      <w:lang w:eastAsia="en-US"/>
    </w:rPr>
  </w:style>
  <w:style w:type="paragraph" w:styleId="gray2" w:customStyle="1">
    <w:name w:val="gray2"/>
    <w:basedOn w:val="Normal"/>
    <w:rsid w:val="001243F9"/>
    <w:pPr>
      <w:autoSpaceDE w:val="0"/>
      <w:autoSpaceDN w:val="0"/>
      <w:spacing w:line="200" w:lineRule="atLeast"/>
    </w:pPr>
    <w:rPr>
      <w:rFonts w:ascii="Mangal" w:cs="Mangal" w:eastAsia="Microsoft YaHei" w:hAnsi="Mangal"/>
      <w:kern w:val="3"/>
      <w:sz w:val="36"/>
      <w:szCs w:val="36"/>
      <w:lang w:eastAsia="en-US"/>
    </w:rPr>
  </w:style>
  <w:style w:type="paragraph" w:styleId="gray1" w:customStyle="1">
    <w:name w:val="gray1"/>
    <w:basedOn w:val="Normal"/>
    <w:rsid w:val="001243F9"/>
    <w:pPr>
      <w:autoSpaceDE w:val="0"/>
      <w:autoSpaceDN w:val="0"/>
      <w:spacing w:line="200" w:lineRule="atLeast"/>
    </w:pPr>
    <w:rPr>
      <w:rFonts w:ascii="Mangal" w:cs="Mangal" w:eastAsia="Microsoft YaHei" w:hAnsi="Mangal"/>
      <w:kern w:val="3"/>
      <w:sz w:val="36"/>
      <w:szCs w:val="36"/>
      <w:lang w:eastAsia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17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1716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1716F"/>
    <w:rPr>
      <w:rFonts w:ascii="Calibri" w:cs="Calibri" w:eastAsia="Calibri" w:hAnsi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1716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1716F"/>
    <w:rPr>
      <w:rFonts w:ascii="Calibri" w:cs="Calibri" w:eastAsia="Calibri" w:hAnsi="Calibri"/>
      <w:b w:val="1"/>
      <w:bCs w:val="1"/>
      <w:sz w:val="20"/>
      <w:szCs w:val="20"/>
      <w:lang w:eastAsia="es-CO"/>
    </w:rPr>
  </w:style>
  <w:style w:type="paragraph" w:styleId="Revisin">
    <w:name w:val="Revision"/>
    <w:hidden w:val="1"/>
    <w:uiPriority w:val="99"/>
    <w:semiHidden w:val="1"/>
    <w:rsid w:val="000F3E8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bFsxdz6IlgBRwvKCCgHe/kdiw==">CgMxLjAyCGguZ2pkZ3hzOAByITFjT1JzQnlQZ2hyTTIySXRudmh1c0JZQ1hmQjM2VmJvTQ==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2022-04-05T20:11:00Z</dcterms:created>
  <dc:creator>Lorena Cruz</dc:creator>
</cp:coreProperties>
</file>