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NOMBRE DEL PLAN SECTORIAL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FECHA DE APROBACIÓN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color w:val="000000"/>
          <w:sz w:val="18"/>
          <w:szCs w:val="18"/>
          <w:u w:val="single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(Mediante Acta No. XX del DD/MM/AAAA del Comité Sectorial (Incluir nombre del Comité, según aplique)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con radicado No.XXXXX</w:t>
      </w:r>
      <w:r w:rsidDel="00000000" w:rsidR="00000000" w:rsidRPr="00000000">
        <w:rPr>
          <w:color w:val="000000"/>
          <w:sz w:val="18"/>
          <w:szCs w:val="18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b w:val="1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(Nota: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El diseño de este documento podrá ser adaptado de acuerdo con las necesidades establecidas por las entidades involucradas en el Plan Sectorial y con el fin de facilitar la comprensión de la información a la ciudadanía. No obstante, se deberá mantener los ítems obligatorios y la codificación y versión establecida por el Sistema de Gestión de la SCRD)</w:t>
      </w:r>
    </w:p>
    <w:p w:rsidR="00000000" w:rsidDel="00000000" w:rsidP="00000000" w:rsidRDefault="00000000" w:rsidRPr="00000000" w14:paraId="00000010">
      <w:pPr>
        <w:tabs>
          <w:tab w:val="left" w:leader="none" w:pos="8853"/>
        </w:tabs>
        <w:spacing w:after="160" w:line="259" w:lineRule="auto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ab/>
      </w:r>
    </w:p>
    <w:p w:rsidR="00000000" w:rsidDel="00000000" w:rsidP="00000000" w:rsidRDefault="00000000" w:rsidRPr="00000000" w14:paraId="00000011">
      <w:pPr>
        <w:tabs>
          <w:tab w:val="left" w:leader="none" w:pos="8450"/>
        </w:tabs>
        <w:spacing w:after="160" w:line="259" w:lineRule="auto"/>
        <w:rPr>
          <w:color w:val="a6a6a6"/>
          <w:sz w:val="22"/>
          <w:szCs w:val="22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59" w:lineRule="auto"/>
        <w:ind w:left="720" w:hanging="36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Tabla de contenido</w:t>
      </w:r>
    </w:p>
    <w:p w:rsidR="00000000" w:rsidDel="00000000" w:rsidP="00000000" w:rsidRDefault="00000000" w:rsidRPr="00000000" w14:paraId="0000001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Introducción (Opcional)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Alineación Estratégica (Obligatorio)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Enfoques (Obligatorio)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Diagnóstico (Obligatorio)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Objetivo General (Obligatorio)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Objetivos Específicos (Obligatorio)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Alcance (Obligatorio)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hyperlink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Estrategias y/o Acciones (Obligatorio)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8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hyperlink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Indicadores de resultado y de producto (Obligatorio)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hyperlink>
          <w:hyperlink w:anchor="_heading=h.lnxbz9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Marco lógico del Plan (Obligatorio)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Participación y articulación institucional (Obligatorio)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hyperlink>
          <w:hyperlink w:anchor="_heading=h.1ksv4uv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Mecanismo de seguimiento y evaluación (Obligatorio)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hyperlink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Instancia que aprueba (Obligatorio)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Anexos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Control de cambios</w:t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right" w:leader="none" w:pos="9962"/>
            </w:tabs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hyperlink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Responsables de elaboración, revisión y aprobación</w:t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color w:val="a6a6a6"/>
          <w:sz w:val="22"/>
          <w:szCs w:val="22"/>
        </w:rPr>
      </w:pPr>
      <w:r w:rsidDel="00000000" w:rsidR="00000000" w:rsidRPr="00000000">
        <w:rPr>
          <w:color w:val="a6a6a6"/>
          <w:sz w:val="22"/>
          <w:szCs w:val="22"/>
          <w:rtl w:val="0"/>
        </w:rPr>
        <w:t xml:space="preserve">Actualizar tabla de contenido, de acuerdo con títulos y subtítulos del documento.</w:t>
      </w:r>
    </w:p>
    <w:p w:rsidR="00000000" w:rsidDel="00000000" w:rsidP="00000000" w:rsidRDefault="00000000" w:rsidRPr="00000000" w14:paraId="0000002B">
      <w:pPr>
        <w:spacing w:after="160" w:line="259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Rule="auto"/>
        <w:rPr>
          <w:color w:val="a6a6a6"/>
          <w:sz w:val="22"/>
          <w:szCs w:val="22"/>
        </w:rPr>
      </w:pPr>
      <w:r w:rsidDel="00000000" w:rsidR="00000000" w:rsidRPr="00000000">
        <w:rPr>
          <w:color w:val="a6a6a6"/>
          <w:sz w:val="22"/>
          <w:szCs w:val="22"/>
          <w:rtl w:val="0"/>
        </w:rPr>
        <w:t xml:space="preserve">Consultar la Guía Metodológica para la formulación de planes del Sector Cultura, Recreación y Deporte (DES-GU-01)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Introducción (Opcional)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Alineación Estratégica (Obligatorio)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67"/>
        </w:tabs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Incluir alineación con el Plan Distrital de Desarrollo, objetivos de desarrollo sostenible, en caso de que exista relación con algún proyecto de inversión o política pública deberá asociarse. </w:t>
      </w:r>
    </w:p>
    <w:p w:rsidR="00000000" w:rsidDel="00000000" w:rsidP="00000000" w:rsidRDefault="00000000" w:rsidRPr="00000000" w14:paraId="00000036">
      <w:pPr>
        <w:spacing w:after="1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Ver numeral 9.1 y 9.2 de la Guía Metodológica para la formulación de planes del Sector Cultura, Recreación y Deporte (DES-GU-01). 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  <w:t xml:space="preserve">Enfoques (Obligatorio)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Enfoque de género, Enfoque diferencial, Enfoque Territorial, etc. Ver numeral 9.3 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de la Guía Metodológica para la formulación de planes del Sector Cultura, Recreación y Deporte (DES-GU-01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tyjcwt" w:id="4"/>
      <w:bookmarkEnd w:id="4"/>
      <w:r w:rsidDel="00000000" w:rsidR="00000000" w:rsidRPr="00000000">
        <w:rPr>
          <w:rtl w:val="0"/>
        </w:rPr>
        <w:t xml:space="preserve">Diagnóstico (Obligatorio)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Ver numeral 10.1 de la Guía Metodológica para la formulación de planes del Sector Cultura, Recreación y Deporte (DES-GU-01). 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3dy6vkm" w:id="5"/>
      <w:bookmarkEnd w:id="5"/>
      <w:r w:rsidDel="00000000" w:rsidR="00000000" w:rsidRPr="00000000">
        <w:rPr>
          <w:rtl w:val="0"/>
        </w:rPr>
        <w:t xml:space="preserve">Objetivo General (Obligatorio)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Debe responder a la </w:t>
      </w: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solución global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del problema o la situación que se pretende mejorar. Representa el </w:t>
      </w: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fin último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del plan.</w:t>
      </w:r>
    </w:p>
    <w:p w:rsidR="00000000" w:rsidDel="00000000" w:rsidP="00000000" w:rsidRDefault="00000000" w:rsidRPr="00000000" w14:paraId="00000045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Características: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Amplio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: No detalla acciones específicas, sino que expresa un propósito general a alcanzar.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Orientado al impacto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: Se enfoca en los cambios significativos que se esperan lograr en el sector o el impacto que se espera generar en la sociedad.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A largo plazo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: Refleja la meta final que se desea conseguir, generalmente en un horizonte temporal más extenso (3 a 5 años, o más).</w:t>
      </w:r>
    </w:p>
    <w:p w:rsidR="00000000" w:rsidDel="00000000" w:rsidP="00000000" w:rsidRDefault="00000000" w:rsidRPr="00000000" w14:paraId="00000049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Pregunta clave que responde: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¿Qué queremos lograr de manera global con este plan?</w:t>
      </w:r>
    </w:p>
    <w:p w:rsidR="00000000" w:rsidDel="00000000" w:rsidP="00000000" w:rsidRDefault="00000000" w:rsidRPr="00000000" w14:paraId="0000004B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Ejemplos: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Mejorar la calidad de los servicios culturales en la ciudad mediante la ampliación de la oferta artística y patrimonial disponible para la comunidad.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Fortalecer la eficiencia operativa de la entidad para incrementar la satisfacción de los ciudadanos con los servicios prestados.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Aumentar la participación ciudadana en programas culturales y recreativos en un 20% durante los próximos cuatro años.</w:t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3znysh7" w:id="6"/>
      <w:bookmarkEnd w:id="6"/>
      <w:r w:rsidDel="00000000" w:rsidR="00000000" w:rsidRPr="00000000">
        <w:rPr>
          <w:rtl w:val="0"/>
        </w:rPr>
        <w:t xml:space="preserve">Objetivos Específicos (Obligatorio)</w:t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Derivan del objetivo general y describen los resultados concretos que se deben alcanzar para lograrlo. Son metas </w:t>
      </w: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más detalladas, 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orientadas a acciones y resultados parciales que permiten avanzar hacia el objetivo general.</w:t>
      </w:r>
    </w:p>
    <w:p w:rsidR="00000000" w:rsidDel="00000000" w:rsidP="00000000" w:rsidRDefault="00000000" w:rsidRPr="00000000" w14:paraId="00000053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Los objetivos específicos deben cumplir con los criterios </w:t>
      </w: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SMART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S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(Específico): Definir claramente lo que se va a lograr.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M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(Medible): Establecer cómo se medirá el éxito (indicadores).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A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(Alcanzable): Asegurar que sea realizable con los recursos disponibles.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R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(Relevante): Relacionado con la solución del problema identificado.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T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(Tiempo): Definir un plazo para su cumplimiento.</w:t>
      </w:r>
    </w:p>
    <w:p w:rsidR="00000000" w:rsidDel="00000000" w:rsidP="00000000" w:rsidRDefault="00000000" w:rsidRPr="00000000" w14:paraId="00000059">
      <w:pPr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Pregunta clave que responden: 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¿Qué acciones específicas debemos realizar para lograr el objetivo general?</w:t>
      </w:r>
    </w:p>
    <w:p w:rsidR="00000000" w:rsidDel="00000000" w:rsidP="00000000" w:rsidRDefault="00000000" w:rsidRPr="00000000" w14:paraId="0000005A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Ejemplos:</w:t>
      </w:r>
    </w:p>
    <w:p w:rsidR="00000000" w:rsidDel="00000000" w:rsidP="00000000" w:rsidRDefault="00000000" w:rsidRPr="00000000" w14:paraId="0000005B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Para el objetivo general "Mejorar la calidad de los servicios culturales en la ciudad":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Ampliar la oferta de programas de formación artística y cultural para niños y jóvenes en al menos 30% en los próximos dos años.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Cualificar a 100 agentes culturales en gestión de proyectos y emprendimiento cultural para fortalecer el ecosistema cultural de la ciudad.</w:t>
      </w:r>
    </w:p>
    <w:p w:rsidR="00000000" w:rsidDel="00000000" w:rsidP="00000000" w:rsidRDefault="00000000" w:rsidRPr="00000000" w14:paraId="0000005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  <w:t xml:space="preserve">Alcance (Obligatorio)</w:t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Establecer el año o años en los que se implementará el plan</w:t>
      </w:r>
    </w:p>
    <w:p w:rsidR="00000000" w:rsidDel="00000000" w:rsidP="00000000" w:rsidRDefault="00000000" w:rsidRPr="00000000" w14:paraId="0000006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17dp8vu" w:id="8"/>
      <w:bookmarkEnd w:id="8"/>
      <w:r w:rsidDel="00000000" w:rsidR="00000000" w:rsidRPr="00000000">
        <w:rPr>
          <w:rtl w:val="0"/>
        </w:rPr>
        <w:t xml:space="preserve">Estrategias y/o</w:t>
      </w:r>
      <w:r w:rsidDel="00000000" w:rsidR="00000000" w:rsidRPr="00000000">
        <w:rPr>
          <w:rtl w:val="0"/>
        </w:rPr>
        <w:t xml:space="preserve"> Acciones (Obligatorio)</w:t>
      </w:r>
    </w:p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Establecer los proyectos, programas, acciones clave y/o líneas de acción necesarias para alcanzar los objetivos definidos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3rdcrjn" w:id="9"/>
      <w:bookmarkEnd w:id="9"/>
      <w:r w:rsidDel="00000000" w:rsidR="00000000" w:rsidRPr="00000000">
        <w:rPr>
          <w:rtl w:val="0"/>
        </w:rPr>
        <w:t xml:space="preserve">Indicadores de resultado y de producto (Obligatorio)</w:t>
      </w:r>
    </w:p>
    <w:p w:rsidR="00000000" w:rsidDel="00000000" w:rsidP="00000000" w:rsidRDefault="00000000" w:rsidRPr="00000000" w14:paraId="0000006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Los indicadores permiten medir el avance y la efectividad de las líneas estratégicas o programas implementados. Es importante definir indicadores de resultado (que midan el impacto) y de producto (que midan la cantidad de actividad realizada).</w:t>
      </w:r>
    </w:p>
    <w:p w:rsidR="00000000" w:rsidDel="00000000" w:rsidP="00000000" w:rsidRDefault="00000000" w:rsidRPr="00000000" w14:paraId="0000006B">
      <w:pPr>
        <w:jc w:val="both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Indicadores de resultado: Miden los cambios en el comportamiento o situación de la población beneficiaria. Ejemplo: Aumento del 30% en la participación juvenil en actividades culturales.</w:t>
      </w:r>
    </w:p>
    <w:p w:rsidR="00000000" w:rsidDel="00000000" w:rsidP="00000000" w:rsidRDefault="00000000" w:rsidRPr="00000000" w14:paraId="0000006D">
      <w:pPr>
        <w:jc w:val="both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Indicadores de producto: Miden la cantidad de actividades realizadas o productos entregados. Ejemplo: Número de escuelas culturales establecidas (mínimo 10), número de eventos culturales organizados (mínimo 5 por año).</w:t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lnxbz9" w:id="10"/>
      <w:bookmarkEnd w:id="10"/>
      <w:r w:rsidDel="00000000" w:rsidR="00000000" w:rsidRPr="00000000">
        <w:rPr>
          <w:rtl w:val="0"/>
        </w:rPr>
        <w:t xml:space="preserve">Marco lógico del Plan (Obligatorio)</w:t>
      </w:r>
    </w:p>
    <w:p w:rsidR="00000000" w:rsidDel="00000000" w:rsidP="00000000" w:rsidRDefault="00000000" w:rsidRPr="00000000" w14:paraId="0000007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Ver numeral 10.4.1 de la Guía Metodológica para la formulación de planes del Sector Cultura, Recreación y Deporte (DES-GU-01). </w:t>
      </w:r>
    </w:p>
    <w:p w:rsidR="00000000" w:rsidDel="00000000" w:rsidP="00000000" w:rsidRDefault="00000000" w:rsidRPr="00000000" w14:paraId="0000007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35nkun2" w:id="11"/>
      <w:bookmarkEnd w:id="11"/>
      <w:r w:rsidDel="00000000" w:rsidR="00000000" w:rsidRPr="00000000">
        <w:rPr>
          <w:rtl w:val="0"/>
        </w:rPr>
        <w:t xml:space="preserve">Participación y articulación institucional (Obligatorio)</w:t>
      </w:r>
    </w:p>
    <w:p w:rsidR="00000000" w:rsidDel="00000000" w:rsidP="00000000" w:rsidRDefault="00000000" w:rsidRPr="00000000" w14:paraId="0000007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Ver numeral 10.5 de la Guía Metodológica para la formulación de planes del Sector Cultura, Recreación y Deporte (DES-GU-01). </w:t>
      </w:r>
    </w:p>
    <w:p w:rsidR="00000000" w:rsidDel="00000000" w:rsidP="00000000" w:rsidRDefault="00000000" w:rsidRPr="00000000" w14:paraId="0000007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numPr>
          <w:ilvl w:val="0"/>
          <w:numId w:val="1"/>
        </w:numPr>
        <w:spacing w:line="240" w:lineRule="auto"/>
        <w:ind w:left="720" w:hanging="360"/>
        <w:rPr/>
      </w:pPr>
      <w:bookmarkStart w:colFirst="0" w:colLast="0" w:name="_heading=h.1ksv4uv" w:id="12"/>
      <w:bookmarkEnd w:id="12"/>
      <w:r w:rsidDel="00000000" w:rsidR="00000000" w:rsidRPr="00000000">
        <w:rPr>
          <w:rtl w:val="0"/>
        </w:rPr>
        <w:t xml:space="preserve">Mecanismo de seguimiento y evaluación (Obligatorio)</w:t>
      </w:r>
    </w:p>
    <w:p w:rsidR="00000000" w:rsidDel="00000000" w:rsidP="00000000" w:rsidRDefault="00000000" w:rsidRPr="00000000" w14:paraId="0000007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360" w:firstLine="0"/>
        <w:jc w:val="both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Tipos de evaluación: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Especificar los tipos de evaluación que se realizarán (formativa, sumativa, de impacto).</w:t>
      </w:r>
    </w:p>
    <w:p w:rsidR="00000000" w:rsidDel="00000000" w:rsidP="00000000" w:rsidRDefault="00000000" w:rsidRPr="00000000" w14:paraId="0000007D">
      <w:pPr>
        <w:ind w:left="360" w:firstLine="0"/>
        <w:jc w:val="both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Periodicidad: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Establecer la frecuencia con la que se realizarán las evaluaciones (anual, cada dos años, etc.).</w:t>
      </w:r>
    </w:p>
    <w:p w:rsidR="00000000" w:rsidDel="00000000" w:rsidP="00000000" w:rsidRDefault="00000000" w:rsidRPr="00000000" w14:paraId="0000007E">
      <w:pPr>
        <w:ind w:left="360" w:firstLine="0"/>
        <w:jc w:val="both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Métodos de evaluación: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Describir los métodos que se utilizarán para recopilar información (encuestas, entrevistas, análisis documental, etc.).</w:t>
      </w:r>
    </w:p>
    <w:p w:rsidR="00000000" w:rsidDel="00000000" w:rsidP="00000000" w:rsidRDefault="00000000" w:rsidRPr="00000000" w14:paraId="0000007F">
      <w:pPr>
        <w:ind w:left="360" w:firstLine="0"/>
        <w:jc w:val="both"/>
        <w:rPr>
          <w:color w:val="808080"/>
          <w:sz w:val="22"/>
          <w:szCs w:val="22"/>
        </w:rPr>
      </w:pPr>
      <w:r w:rsidDel="00000000" w:rsidR="00000000" w:rsidRPr="00000000">
        <w:rPr>
          <w:b w:val="1"/>
          <w:color w:val="808080"/>
          <w:sz w:val="22"/>
          <w:szCs w:val="22"/>
          <w:rtl w:val="0"/>
        </w:rPr>
        <w:t xml:space="preserve">Enfoques de evaluación:</w:t>
      </w:r>
      <w:r w:rsidDel="00000000" w:rsidR="00000000" w:rsidRPr="00000000">
        <w:rPr>
          <w:color w:val="808080"/>
          <w:sz w:val="22"/>
          <w:szCs w:val="22"/>
          <w:rtl w:val="0"/>
        </w:rPr>
        <w:t xml:space="preserve"> Indicar si la evaluación será cualitativa, cuantitativa o mixta.</w:t>
      </w:r>
    </w:p>
    <w:p w:rsidR="00000000" w:rsidDel="00000000" w:rsidP="00000000" w:rsidRDefault="00000000" w:rsidRPr="00000000" w14:paraId="0000008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44sinio" w:id="13"/>
      <w:bookmarkEnd w:id="13"/>
      <w:r w:rsidDel="00000000" w:rsidR="00000000" w:rsidRPr="00000000">
        <w:rPr>
          <w:rtl w:val="0"/>
        </w:rPr>
        <w:t xml:space="preserve">Instancia que aprueba (Obligatorio)</w:t>
      </w:r>
    </w:p>
    <w:p w:rsidR="00000000" w:rsidDel="00000000" w:rsidP="00000000" w:rsidRDefault="00000000" w:rsidRPr="00000000" w14:paraId="0000008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Incluir instancia que avala el plan</w:t>
      </w:r>
    </w:p>
    <w:p w:rsidR="00000000" w:rsidDel="00000000" w:rsidP="00000000" w:rsidRDefault="00000000" w:rsidRPr="00000000" w14:paraId="00000084">
      <w:pPr>
        <w:spacing w:line="36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z337ya" w:id="14"/>
      <w:bookmarkEnd w:id="14"/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086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Enlistar cada uno de los anexos que soportan la formulación del plan sectorial y de los demás documentos que sea complementarios al Plan.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color w:val="808080"/>
          <w:sz w:val="22"/>
          <w:szCs w:val="22"/>
          <w:rtl w:val="0"/>
        </w:rPr>
        <w:t xml:space="preserve">Incluir Cronograma de planificación. Ver numeral 10.3.3 de la Guía Metodológica para la formulación de planes del Sector Cultura, Recreación y Deporte (DES-GU-01)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808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numPr>
          <w:ilvl w:val="0"/>
          <w:numId w:val="1"/>
        </w:numPr>
        <w:ind w:left="720" w:hanging="360"/>
        <w:rPr/>
      </w:pPr>
      <w:bookmarkStart w:colFirst="0" w:colLast="0" w:name="_heading=h.3j2qqm3" w:id="15"/>
      <w:bookmarkEnd w:id="15"/>
      <w:r w:rsidDel="00000000" w:rsidR="00000000" w:rsidRPr="00000000">
        <w:rPr>
          <w:rtl w:val="0"/>
        </w:rPr>
        <w:t xml:space="preserve">Control de cambios 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1.0" w:type="dxa"/>
        <w:jc w:val="left"/>
        <w:tblInd w:w="127.0" w:type="dxa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000"/>
      </w:tblPr>
      <w:tblGrid>
        <w:gridCol w:w="1286"/>
        <w:gridCol w:w="1134"/>
        <w:gridCol w:w="7371"/>
        <w:tblGridChange w:id="0">
          <w:tblGrid>
            <w:gridCol w:w="1286"/>
            <w:gridCol w:w="1134"/>
            <w:gridCol w:w="7371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37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Versión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3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Emisión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4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Cambios realizados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38" w:firstLine="0"/>
              <w:rPr>
                <w:b w:val="1"/>
                <w:color w:val="a6a6a6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a6a6a6"/>
                <w:sz w:val="12"/>
                <w:szCs w:val="12"/>
                <w:rtl w:val="0"/>
              </w:rPr>
              <w:t xml:space="preserve">última fecha registrada en el flujo de aprobación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38" w:firstLine="0"/>
              <w:rPr>
                <w:b w:val="1"/>
                <w:color w:val="a6a6a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38" w:firstLine="0"/>
              <w:rPr>
                <w:b w:val="1"/>
                <w:color w:val="a6a6a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5" w:lineRule="auto"/>
              <w:ind w:left="38" w:firstLine="0"/>
              <w:rPr>
                <w:b w:val="1"/>
                <w:color w:val="a6a6a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1"/>
        <w:numPr>
          <w:ilvl w:val="0"/>
          <w:numId w:val="1"/>
        </w:numPr>
        <w:ind w:left="720" w:hanging="360"/>
        <w:rPr>
          <w:b w:val="0"/>
        </w:rPr>
      </w:pPr>
      <w:bookmarkStart w:colFirst="0" w:colLast="0" w:name="_heading=h.1y810tw" w:id="16"/>
      <w:bookmarkEnd w:id="16"/>
      <w:r w:rsidDel="00000000" w:rsidR="00000000" w:rsidRPr="00000000">
        <w:rPr>
          <w:rtl w:val="0"/>
        </w:rPr>
        <w:t xml:space="preserve"> Responsables de elaboración, revisión y aprobación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2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2490"/>
        <w:gridCol w:w="2490"/>
        <w:gridCol w:w="2491"/>
        <w:gridCol w:w="2491"/>
        <w:tblGridChange w:id="0">
          <w:tblGrid>
            <w:gridCol w:w="2490"/>
            <w:gridCol w:w="2490"/>
            <w:gridCol w:w="2491"/>
            <w:gridCol w:w="24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ELABORÓ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808080"/>
                <w:sz w:val="18"/>
                <w:szCs w:val="18"/>
                <w:rtl w:val="0"/>
              </w:rPr>
              <w:t xml:space="preserve">Persona(s) responsable(s) de crear, proyectar la modificación y/o ajuste del documento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APROBÓ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i w:val="1"/>
                <w:color w:val="808080"/>
                <w:sz w:val="18"/>
                <w:szCs w:val="18"/>
                <w:rtl w:val="0"/>
              </w:rPr>
              <w:t xml:space="preserve">Líder del Proceso quién debe hacer cumplir el contenido establecido en el documento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6" w:hanging="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VALIDÓ</w:t>
            </w:r>
          </w:p>
          <w:p w:rsidR="00000000" w:rsidDel="00000000" w:rsidP="00000000" w:rsidRDefault="00000000" w:rsidRPr="00000000" w14:paraId="000000A8">
            <w:pPr>
              <w:ind w:left="6" w:hanging="6"/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808080"/>
                <w:sz w:val="16"/>
                <w:szCs w:val="16"/>
                <w:rtl w:val="0"/>
              </w:rPr>
              <w:t xml:space="preserve">Persona(s) de la OAP responsable(s) de verificar que el documento contenga los lineamientos establecidos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AVALÓ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color w:val="808080"/>
                <w:sz w:val="18"/>
                <w:szCs w:val="18"/>
                <w:rtl w:val="0"/>
              </w:rPr>
              <w:t xml:space="preserve">Instancia correspondiente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ind w:left="284" w:hanging="28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284" w:hanging="28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284" w:hanging="28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ind w:left="284" w:hanging="28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284" w:hanging="28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284" w:hanging="284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CARGO: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B4">
            <w:pPr>
              <w:ind w:left="284" w:hanging="28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Firmado</w:t>
            </w:r>
          </w:p>
          <w:p w:rsidR="00000000" w:rsidDel="00000000" w:rsidP="00000000" w:rsidRDefault="00000000" w:rsidRPr="00000000" w14:paraId="000000B5">
            <w:pPr>
              <w:ind w:left="284" w:hanging="284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Electrónicamente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B7">
            <w:pPr>
              <w:ind w:left="284" w:hanging="28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Firmado</w:t>
            </w:r>
          </w:p>
          <w:p w:rsidR="00000000" w:rsidDel="00000000" w:rsidP="00000000" w:rsidRDefault="00000000" w:rsidRPr="00000000" w14:paraId="000000B8">
            <w:pPr>
              <w:ind w:left="284" w:hanging="284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Electrónicamente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BA">
            <w:pPr>
              <w:ind w:left="284" w:hanging="28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Firmado</w:t>
            </w:r>
          </w:p>
          <w:p w:rsidR="00000000" w:rsidDel="00000000" w:rsidP="00000000" w:rsidRDefault="00000000" w:rsidRPr="00000000" w14:paraId="000000BB">
            <w:pPr>
              <w:ind w:left="284" w:hanging="284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Electrónicamente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BD">
            <w:pPr>
              <w:ind w:left="284" w:hanging="28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Firmado</w:t>
            </w:r>
          </w:p>
          <w:p w:rsidR="00000000" w:rsidDel="00000000" w:rsidP="00000000" w:rsidRDefault="00000000" w:rsidRPr="00000000" w14:paraId="000000BE">
            <w:pPr>
              <w:ind w:left="284" w:hanging="284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Electrónicamente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line="3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jc w:val="right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highlight w:val="white"/>
        <w:rtl w:val="0"/>
      </w:rPr>
      <w:t xml:space="preserve">DES-GU-03-FR-01. V1. </w:t>
    </w:r>
    <w:r w:rsidDel="00000000" w:rsidR="00000000" w:rsidRPr="00000000">
      <w:rPr>
        <w:color w:val="000000"/>
        <w:sz w:val="14"/>
        <w:szCs w:val="14"/>
        <w:rtl w:val="0"/>
      </w:rPr>
      <w:t xml:space="preserve">29/11/2024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jc w:val="both"/>
      <w:rPr>
        <w:rFonts w:ascii="Calibri" w:cs="Calibri" w:eastAsia="Calibri" w:hAnsi="Calibri"/>
        <w:color w:val="000000"/>
        <w:sz w:val="18"/>
        <w:szCs w:val="18"/>
      </w:rPr>
    </w:pPr>
    <w:bookmarkStart w:colFirst="0" w:colLast="0" w:name="_heading=h.iibdtehb9kz7" w:id="17"/>
    <w:bookmarkEnd w:id="17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3"/>
      <w:tblW w:w="9918.0" w:type="dxa"/>
      <w:jc w:val="left"/>
      <w:tblInd w:w="-5.0" w:type="dxa"/>
      <w:tblBorders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</w:tblBorders>
      <w:tblLayout w:type="fixed"/>
      <w:tblLook w:val="0400"/>
    </w:tblPr>
    <w:tblGrid>
      <w:gridCol w:w="1724"/>
      <w:gridCol w:w="5501"/>
      <w:gridCol w:w="2693"/>
      <w:tblGridChange w:id="0">
        <w:tblGrid>
          <w:gridCol w:w="1724"/>
          <w:gridCol w:w="5501"/>
          <w:gridCol w:w="2693"/>
        </w:tblGrid>
      </w:tblGridChange>
    </w:tblGrid>
    <w:tr>
      <w:trPr>
        <w:cantSplit w:val="0"/>
        <w:trHeight w:val="20" w:hRule="atLeast"/>
        <w:tblHeader w:val="0"/>
      </w:trPr>
      <w:tc>
        <w:tcPr>
          <w:vMerge w:val="restart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</w:tcPr>
        <w:p w:rsidR="00000000" w:rsidDel="00000000" w:rsidP="00000000" w:rsidRDefault="00000000" w:rsidRPr="00000000" w14:paraId="000000C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720930" cy="685800"/>
                <wp:effectExtent b="0" l="0" r="0" t="0"/>
                <wp:wrapSquare wrapText="bothSides" distB="0" distT="0" distL="114300" distR="114300"/>
                <wp:docPr id="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93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5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Arial Narrow" w:cs="Arial Narrow" w:eastAsia="Arial Narrow" w:hAnsi="Arial Narrow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sz w:val="24"/>
              <w:szCs w:val="24"/>
              <w:rtl w:val="0"/>
            </w:rPr>
            <w:t xml:space="preserve">GESTIÓN DE DIRECCIONAMIENTO ESTRATÉGICO</w:t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Código: xx-xx-xx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</w:tcPr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Fecha: dd/mm/año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</w:tcPr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B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Arial Narrow" w:cs="Arial Narrow" w:eastAsia="Arial Narrow" w:hAnsi="Arial Narrow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sz w:val="24"/>
              <w:szCs w:val="24"/>
              <w:rtl w:val="0"/>
            </w:rPr>
            <w:t xml:space="preserve">NOMBRE DEL PLAN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Versión: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</w:tcPr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1" w:space="0" w:sz="4" w:val="single"/>
            <w:lef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auto" w:val="clear"/>
          <w:tcMar>
            <w:left w:w="-5.0" w:type="dxa"/>
          </w:tcMar>
          <w:vAlign w:val="center"/>
        </w:tcPr>
        <w:p w:rsidR="00000000" w:rsidDel="00000000" w:rsidP="00000000" w:rsidRDefault="00000000" w:rsidRPr="00000000" w14:paraId="000000C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cs="Arial" w:eastAsia="Arial" w:hAnsi="Arial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800" w:hanging="144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216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00000a"/>
        <w:sz w:val="21"/>
        <w:szCs w:val="21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59" w:lineRule="auto"/>
      <w:ind w:left="720" w:hanging="360"/>
      <w:jc w:val="both"/>
    </w:pPr>
    <w:rPr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line="360" w:lineRule="auto"/>
      <w:ind w:left="1440" w:hanging="360"/>
    </w:pPr>
    <w:rPr>
      <w:rFonts w:ascii="Century Gothic" w:cs="Century Gothic" w:eastAsia="Century Gothic" w:hAnsi="Century Gothic"/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512B"/>
    <w:pPr>
      <w:suppressAutoHyphens w:val="1"/>
    </w:pPr>
    <w:rPr>
      <w:rFonts w:eastAsia="Times New Roman"/>
      <w:szCs w:val="20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CA2D65"/>
    <w:pPr>
      <w:keepNext w:val="1"/>
      <w:keepLines w:val="1"/>
      <w:numPr>
        <w:numId w:val="1"/>
      </w:numPr>
      <w:suppressAutoHyphens w:val="0"/>
      <w:spacing w:line="259" w:lineRule="auto"/>
      <w:jc w:val="both"/>
      <w:outlineLvl w:val="0"/>
    </w:pPr>
    <w:rPr>
      <w:rFonts w:eastAsiaTheme="majorEastAsia"/>
      <w:b w:val="1"/>
      <w:color w:val="000000" w:themeColor="text1"/>
      <w:sz w:val="22"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031FDC"/>
    <w:pPr>
      <w:keepNext w:val="1"/>
      <w:keepLines w:val="1"/>
      <w:numPr>
        <w:ilvl w:val="1"/>
        <w:numId w:val="1"/>
      </w:numPr>
      <w:suppressAutoHyphens w:val="0"/>
      <w:spacing w:line="360" w:lineRule="auto"/>
      <w:outlineLvl w:val="1"/>
    </w:pPr>
    <w:rPr>
      <w:rFonts w:ascii="Century Gothic" w:hAnsi="Century Gothic" w:cstheme="majorBidi" w:eastAsiaTheme="majorEastAsia"/>
      <w:b w:val="1"/>
      <w:color w:val="auto"/>
      <w:sz w:val="22"/>
      <w:szCs w:val="26"/>
      <w:lang w:eastAsia="es-CO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3D278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278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D2783"/>
  </w:style>
  <w:style w:type="paragraph" w:styleId="Piedepgina">
    <w:name w:val="footer"/>
    <w:basedOn w:val="Normal"/>
    <w:link w:val="PiedepginaCar"/>
    <w:uiPriority w:val="99"/>
    <w:unhideWhenUsed w:val="1"/>
    <w:rsid w:val="003D278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D2783"/>
  </w:style>
  <w:style w:type="paragraph" w:styleId="TITULOG" w:customStyle="1">
    <w:name w:val="TITULOG"/>
    <w:basedOn w:val="Ttulo4"/>
    <w:rsid w:val="003D2783"/>
    <w:pPr>
      <w:keepLines w:val="0"/>
      <w:widowControl w:val="0"/>
      <w:spacing w:before="0" w:line="100" w:lineRule="atLeast"/>
      <w:jc w:val="center"/>
    </w:pPr>
    <w:rPr>
      <w:rFonts w:ascii="MS Sans Serif" w:cs="Times New Roman" w:eastAsia="Times New Roman" w:hAnsi="MS Sans Serif"/>
      <w:b w:val="1"/>
      <w:i w:val="0"/>
      <w:iCs w:val="0"/>
      <w:color w:val="000000"/>
      <w:kern w:val="1"/>
      <w:sz w:val="28"/>
      <w:lang w:bidi="hi-IN" w:val="es-ES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D2783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Contenidodelatabla" w:customStyle="1">
    <w:name w:val="Contenido de la tabla"/>
    <w:basedOn w:val="Normal"/>
    <w:qFormat w:val="1"/>
    <w:rsid w:val="00E55AE2"/>
    <w:pPr>
      <w:suppressLineNumbers w:val="1"/>
    </w:pPr>
    <w:rPr>
      <w:lang w:val="en-US"/>
    </w:rPr>
  </w:style>
  <w:style w:type="character" w:styleId="Ttulo1Car" w:customStyle="1">
    <w:name w:val="Título 1 Car"/>
    <w:basedOn w:val="Fuentedeprrafopredeter"/>
    <w:link w:val="Ttulo1"/>
    <w:uiPriority w:val="9"/>
    <w:rsid w:val="00CA2D65"/>
    <w:rPr>
      <w:rFonts w:ascii="Arial" w:cs="Arial" w:hAnsi="Arial" w:eastAsiaTheme="majorEastAsia"/>
      <w:b w:val="1"/>
      <w:color w:val="000000" w:themeColor="text1"/>
      <w:szCs w:val="32"/>
      <w:lang w:eastAsia="es-CO"/>
    </w:rPr>
  </w:style>
  <w:style w:type="character" w:styleId="Ttulo2Car" w:customStyle="1">
    <w:name w:val="Título 2 Car"/>
    <w:basedOn w:val="Fuentedeprrafopredeter"/>
    <w:link w:val="Ttulo2"/>
    <w:uiPriority w:val="9"/>
    <w:rsid w:val="00031FDC"/>
    <w:rPr>
      <w:rFonts w:ascii="Century Gothic" w:hAnsi="Century Gothic" w:cstheme="majorBidi" w:eastAsiaTheme="majorEastAsia"/>
      <w:b w:val="1"/>
      <w:szCs w:val="26"/>
      <w:lang w:eastAsia="es-CO"/>
    </w:rPr>
  </w:style>
  <w:style w:type="table" w:styleId="Tablaconcuadrcula">
    <w:name w:val="Table Grid"/>
    <w:basedOn w:val="Tablanormal"/>
    <w:uiPriority w:val="59"/>
    <w:rsid w:val="00052B59"/>
    <w:rPr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052B59"/>
    <w:pPr>
      <w:suppressAutoHyphens w:val="0"/>
      <w:spacing w:line="259" w:lineRule="auto"/>
      <w:ind w:left="720"/>
      <w:contextualSpacing w:val="1"/>
      <w:jc w:val="both"/>
    </w:pPr>
    <w:rPr>
      <w:rFonts w:ascii="Century Gothic" w:cs="Times New Roman" w:hAnsi="Century Gothic"/>
      <w:color w:val="auto"/>
      <w:sz w:val="22"/>
      <w:szCs w:val="24"/>
      <w:lang w:eastAsia="es-CO"/>
    </w:rPr>
  </w:style>
  <w:style w:type="character" w:styleId="Textoennegrita">
    <w:name w:val="Strong"/>
    <w:basedOn w:val="Fuentedeprrafopredeter"/>
    <w:uiPriority w:val="22"/>
    <w:qFormat w:val="1"/>
    <w:rsid w:val="00052B59"/>
    <w:rPr>
      <w:b w:val="1"/>
      <w:bCs w:val="1"/>
    </w:rPr>
  </w:style>
  <w:style w:type="paragraph" w:styleId="gray3" w:customStyle="1">
    <w:name w:val="gray3"/>
    <w:basedOn w:val="Normal"/>
    <w:uiPriority w:val="99"/>
    <w:rsid w:val="0035101B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cs="Mangal" w:eastAsia="Microsoft YaHei" w:hAnsi="Mangal"/>
      <w:color w:val="auto"/>
      <w:kern w:val="1"/>
      <w:sz w:val="36"/>
      <w:szCs w:val="36"/>
      <w:lang w:eastAsia="en-US"/>
    </w:rPr>
  </w:style>
  <w:style w:type="paragraph" w:styleId="Predeterminado" w:customStyle="1">
    <w:name w:val="Predeterminado"/>
    <w:rsid w:val="0035101B"/>
    <w:pPr>
      <w:autoSpaceDE w:val="0"/>
      <w:autoSpaceDN w:val="0"/>
      <w:adjustRightInd w:val="0"/>
      <w:spacing w:line="200" w:lineRule="atLeast"/>
    </w:pPr>
    <w:rPr>
      <w:rFonts w:ascii="Mangal" w:cs="Mangal" w:eastAsia="Microsoft YaHei" w:hAnsi="Mangal"/>
      <w:kern w:val="1"/>
      <w:sz w:val="36"/>
      <w:szCs w:val="36"/>
    </w:rPr>
  </w:style>
  <w:style w:type="paragraph" w:styleId="gray2" w:customStyle="1">
    <w:name w:val="gray2"/>
    <w:basedOn w:val="Normal"/>
    <w:uiPriority w:val="99"/>
    <w:rsid w:val="0035101B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cs="Mangal" w:eastAsia="Microsoft YaHei" w:hAnsi="Mangal"/>
      <w:color w:val="auto"/>
      <w:kern w:val="1"/>
      <w:sz w:val="36"/>
      <w:szCs w:val="36"/>
      <w:lang w:eastAsia="en-US"/>
    </w:rPr>
  </w:style>
  <w:style w:type="paragraph" w:styleId="gray1" w:customStyle="1">
    <w:name w:val="gray1"/>
    <w:basedOn w:val="Normal"/>
    <w:uiPriority w:val="99"/>
    <w:rsid w:val="0035101B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cs="Mangal" w:eastAsia="Microsoft YaHei" w:hAnsi="Mangal"/>
      <w:color w:val="auto"/>
      <w:kern w:val="1"/>
      <w:sz w:val="36"/>
      <w:szCs w:val="36"/>
      <w:lang w:eastAsia="en-US"/>
    </w:rPr>
  </w:style>
  <w:style w:type="paragraph" w:styleId="Sangradetextonormal">
    <w:name w:val="Body Text Indent"/>
    <w:basedOn w:val="Normal"/>
    <w:link w:val="SangradetextonormalCar"/>
    <w:rsid w:val="0035101B"/>
    <w:pPr>
      <w:suppressAutoHyphens w:val="0"/>
      <w:ind w:left="360"/>
    </w:pPr>
    <w:rPr>
      <w:rFonts w:ascii="Times New Roman" w:cs="Times New Roman" w:hAnsi="Times New Roman"/>
      <w:color w:val="auto"/>
      <w:sz w:val="20"/>
      <w:szCs w:val="16"/>
      <w:lang w:eastAsia="es-ES" w:val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35101B"/>
    <w:rPr>
      <w:rFonts w:ascii="Times New Roman" w:cs="Times New Roman" w:eastAsia="Times New Roman" w:hAnsi="Times New Roman"/>
      <w:sz w:val="20"/>
      <w:szCs w:val="16"/>
      <w:lang w:eastAsia="es-ES" w:val="es-ES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295E80"/>
    <w:pPr>
      <w:numPr>
        <w:numId w:val="0"/>
      </w:numPr>
      <w:spacing w:before="240"/>
      <w:jc w:val="left"/>
      <w:outlineLvl w:val="9"/>
    </w:pPr>
    <w:rPr>
      <w:rFonts w:asciiTheme="majorHAnsi" w:cstheme="majorBidi" w:hAnsiTheme="majorHAnsi"/>
      <w:b w:val="0"/>
      <w:color w:val="2e74b5" w:themeColor="accent1" w:themeShade="0000BF"/>
      <w:sz w:val="32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295E80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295E80"/>
    <w:pPr>
      <w:spacing w:after="100"/>
      <w:ind w:left="210"/>
    </w:pPr>
  </w:style>
  <w:style w:type="character" w:styleId="Hipervnculo">
    <w:name w:val="Hyperlink"/>
    <w:basedOn w:val="Fuentedeprrafopredeter"/>
    <w:uiPriority w:val="99"/>
    <w:unhideWhenUsed w:val="1"/>
    <w:rsid w:val="00295E80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rJqwNPJH6viAj2lYkErUQIcEQ==">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2024-07-24T13:02:00Z</dcterms:created>
  <dc:creator>Cuenta Microsoft</dc:creator>
</cp:coreProperties>
</file>