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AD09" w14:textId="71B568F5" w:rsidR="00924B7F" w:rsidRPr="00F16299" w:rsidRDefault="00CC77A7">
      <w:pPr>
        <w:rPr>
          <w:b/>
          <w:sz w:val="48"/>
          <w:szCs w:val="48"/>
        </w:rPr>
      </w:pPr>
      <w:r w:rsidRPr="00F16299">
        <w:rPr>
          <w:noProof/>
        </w:rPr>
        <mc:AlternateContent>
          <mc:Choice Requires="wps">
            <w:drawing>
              <wp:anchor distT="0" distB="0" distL="0" distR="0" simplePos="0" relativeHeight="251658240" behindDoc="1" locked="0" layoutInCell="1" hidden="0" allowOverlap="1" wp14:anchorId="0745BB31" wp14:editId="40D51046">
                <wp:simplePos x="0" y="0"/>
                <wp:positionH relativeFrom="page">
                  <wp:align>right</wp:align>
                </wp:positionH>
                <wp:positionV relativeFrom="paragraph">
                  <wp:posOffset>-431165</wp:posOffset>
                </wp:positionV>
                <wp:extent cx="7877175" cy="1849755"/>
                <wp:effectExtent l="0" t="0" r="9525" b="0"/>
                <wp:wrapNone/>
                <wp:docPr id="15" name="Rectángulo 15"/>
                <wp:cNvGraphicFramePr/>
                <a:graphic xmlns:a="http://schemas.openxmlformats.org/drawingml/2006/main">
                  <a:graphicData uri="http://schemas.microsoft.com/office/word/2010/wordprocessingShape">
                    <wps:wsp>
                      <wps:cNvSpPr/>
                      <wps:spPr>
                        <a:xfrm>
                          <a:off x="0" y="0"/>
                          <a:ext cx="7877175" cy="1849755"/>
                        </a:xfrm>
                        <a:prstGeom prst="rect">
                          <a:avLst/>
                        </a:prstGeom>
                        <a:solidFill>
                          <a:srgbClr val="574E8C"/>
                        </a:solidFill>
                        <a:ln>
                          <a:noFill/>
                        </a:ln>
                      </wps:spPr>
                      <wps:txbx>
                        <w:txbxContent>
                          <w:p w14:paraId="44F90DB9" w14:textId="77777777" w:rsidR="00924B7F" w:rsidRPr="00F16299" w:rsidRDefault="00924B7F" w:rsidP="00050028">
                            <w:pPr>
                              <w:spacing w:after="0" w:line="240" w:lineRule="auto"/>
                              <w:textDirection w:val="btLr"/>
                            </w:pPr>
                          </w:p>
                          <w:p w14:paraId="21904A8D" w14:textId="77777777" w:rsidR="00924B7F" w:rsidRPr="00F16299" w:rsidRDefault="00B56F32" w:rsidP="00CC77A7">
                            <w:pPr>
                              <w:spacing w:after="0" w:line="240" w:lineRule="auto"/>
                              <w:ind w:left="720" w:firstLine="981"/>
                              <w:textDirection w:val="btLr"/>
                            </w:pPr>
                            <w:r w:rsidRPr="00F16299">
                              <w:rPr>
                                <w:rFonts w:ascii="Arial" w:eastAsia="Arial" w:hAnsi="Arial" w:cs="Arial"/>
                                <w:b/>
                                <w:color w:val="FFC000"/>
                                <w:sz w:val="72"/>
                              </w:rPr>
                              <w:t xml:space="preserve">Protocolo </w:t>
                            </w:r>
                          </w:p>
                          <w:p w14:paraId="3788BC9E" w14:textId="6ABEB7F0" w:rsidR="00924B7F" w:rsidRPr="00F16299" w:rsidRDefault="00B56F32" w:rsidP="00CC77A7">
                            <w:pPr>
                              <w:spacing w:after="0" w:line="240" w:lineRule="auto"/>
                              <w:ind w:left="720" w:firstLine="981"/>
                              <w:textDirection w:val="btLr"/>
                            </w:pPr>
                            <w:r w:rsidRPr="00F16299">
                              <w:rPr>
                                <w:rFonts w:ascii="Arial" w:eastAsia="Arial" w:hAnsi="Arial" w:cs="Arial"/>
                                <w:b/>
                                <w:color w:val="FFFFFF"/>
                                <w:sz w:val="72"/>
                              </w:rPr>
                              <w:t>IDEARR</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0745BB31" id="Rectángulo 15" o:spid="_x0000_s1026" style="position:absolute;margin-left:569.05pt;margin-top:-33.95pt;width:620.25pt;height:145.65pt;z-index:-251658240;visibility:visible;mso-wrap-style:square;mso-width-percent:0;mso-wrap-distance-left:0;mso-wrap-distance-top:0;mso-wrap-distance-right:0;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o85AEAAKIDAAAOAAAAZHJzL2Uyb0RvYy54bWysU12O0zAQfkfiDpbfaZKqJd2o6Qp1KUJa&#10;QbULB3AcJ7Hk2GbsNulxOAsXY+yEboE3xIszfx5/38yX7f3YK3IW4KTRJc0WKSVCc1NL3Zb065fD&#10;mw0lzjNdM2W0KOlFOHq/e/1qO9hCLE1nVC2AYBPtisGWtPPeFknieCd65hbGCo3JxkDPPLrQJjWw&#10;Abv3Klmm6dtkMFBbMFw4h9GHKUl3sX/TCO4/N40TnqiSIjYfT4hnFc5kt2VFC8x2ks8w2D+g6JnU&#10;+Oi11QPzjJxA/tWqlxyMM41fcNMnpmkkF5EDssnSP9g8d8yKyAWH4+x1TO7/teWfzkcgssbdrSnR&#10;rMcdPeHUfnzX7UkZglEc0WBdgZXP9giz59AMfMcG+vBFJmSMY71cxypGTzgG802eZzm255jLNqu7&#10;fB27Ji/XLTj/QZieBKOkgAjiONn50Xl8Ekt/lYTXnFGyPkilogNttVdAzgx3vM5X7zf7gBmv/Fam&#10;dCjWJlyb0iGSBGoTmWD5sRpnhpWpLzgaZ/lBIqhH5vyRAYojo2RAwZTUfTsxEJSojxo3cpetlsjR&#10;R2e1zlOUG9xmqtsM07wzqENPyWTufVTlhPHdyZtGRuIB1QRlBotCiORm0Qal3fqx6uXX2v0EAAD/&#10;/wMAUEsDBBQABgAIAAAAIQAtmOjW4QAAAAkBAAAPAAAAZHJzL2Rvd25yZXYueG1sTI/NTsMwEITv&#10;SLyDtUjcWqdpaSFkU4UKBBIIqeXv6sTbJDReR7HbhrfHPcFxNKOZb9LlYFpxoN41lhEm4wgEcWl1&#10;wxXC+9vD6BqE84q1ai0Twg85WGbnZ6lKtD3ymg4bX4lQwi5RCLX3XSKlK2syyo1tRxy8re2N8kH2&#10;ldS9OoZy08o4iubSqIbDQq06WtVU7jZ7g/BdTCcfr89f27vPFb3Yp/t892hzxMuLIb8F4Wnwf2E4&#10;4Qd0yAJTYfesnWgRwhGPMJovbkCc7HgWXYEoEOJ4OgOZpfL/g+wXAAD//wMAUEsBAi0AFAAGAAgA&#10;AAAhALaDOJL+AAAA4QEAABMAAAAAAAAAAAAAAAAAAAAAAFtDb250ZW50X1R5cGVzXS54bWxQSwEC&#10;LQAUAAYACAAAACEAOP0h/9YAAACUAQAACwAAAAAAAAAAAAAAAAAvAQAAX3JlbHMvLnJlbHNQSwEC&#10;LQAUAAYACAAAACEABB+aPOQBAACiAwAADgAAAAAAAAAAAAAAAAAuAgAAZHJzL2Uyb0RvYy54bWxQ&#10;SwECLQAUAAYACAAAACEALZjo1uEAAAAJAQAADwAAAAAAAAAAAAAAAAA+BAAAZHJzL2Rvd25yZXYu&#10;eG1sUEsFBgAAAAAEAAQA8wAAAEwFAAAAAA==&#10;" fillcolor="#574e8c" stroked="f">
                <v:textbox inset="2.53958mm,1.2694mm,2.53958mm,1.2694mm">
                  <w:txbxContent>
                    <w:p w14:paraId="44F90DB9" w14:textId="77777777" w:rsidR="00924B7F" w:rsidRPr="00F16299" w:rsidRDefault="00924B7F" w:rsidP="00050028">
                      <w:pPr>
                        <w:spacing w:after="0" w:line="240" w:lineRule="auto"/>
                        <w:textDirection w:val="btLr"/>
                      </w:pPr>
                    </w:p>
                    <w:p w14:paraId="21904A8D" w14:textId="77777777" w:rsidR="00924B7F" w:rsidRPr="00F16299" w:rsidRDefault="00B56F32" w:rsidP="00CC77A7">
                      <w:pPr>
                        <w:spacing w:after="0" w:line="240" w:lineRule="auto"/>
                        <w:ind w:left="720" w:firstLine="981"/>
                        <w:textDirection w:val="btLr"/>
                      </w:pPr>
                      <w:r w:rsidRPr="00F16299">
                        <w:rPr>
                          <w:rFonts w:ascii="Arial" w:eastAsia="Arial" w:hAnsi="Arial" w:cs="Arial"/>
                          <w:b/>
                          <w:color w:val="FFC000"/>
                          <w:sz w:val="72"/>
                        </w:rPr>
                        <w:t xml:space="preserve">Protocolo </w:t>
                      </w:r>
                    </w:p>
                    <w:p w14:paraId="3788BC9E" w14:textId="6ABEB7F0" w:rsidR="00924B7F" w:rsidRPr="00F16299" w:rsidRDefault="00B56F32" w:rsidP="00CC77A7">
                      <w:pPr>
                        <w:spacing w:after="0" w:line="240" w:lineRule="auto"/>
                        <w:ind w:left="720" w:firstLine="981"/>
                        <w:textDirection w:val="btLr"/>
                      </w:pPr>
                      <w:r w:rsidRPr="00F16299">
                        <w:rPr>
                          <w:rFonts w:ascii="Arial" w:eastAsia="Arial" w:hAnsi="Arial" w:cs="Arial"/>
                          <w:b/>
                          <w:color w:val="FFFFFF"/>
                          <w:sz w:val="72"/>
                        </w:rPr>
                        <w:t>IDEARR</w:t>
                      </w:r>
                    </w:p>
                  </w:txbxContent>
                </v:textbox>
                <w10:wrap anchorx="page"/>
              </v:rect>
            </w:pict>
          </mc:Fallback>
        </mc:AlternateContent>
      </w:r>
      <w:r w:rsidRPr="00F16299">
        <w:rPr>
          <w:noProof/>
        </w:rPr>
        <mc:AlternateContent>
          <mc:Choice Requires="wps">
            <w:drawing>
              <wp:anchor distT="0" distB="0" distL="114300" distR="114300" simplePos="0" relativeHeight="251661312" behindDoc="0" locked="0" layoutInCell="1" hidden="0" allowOverlap="1" wp14:anchorId="6AEA2A01" wp14:editId="128D8E18">
                <wp:simplePos x="0" y="0"/>
                <wp:positionH relativeFrom="column">
                  <wp:posOffset>5178425</wp:posOffset>
                </wp:positionH>
                <wp:positionV relativeFrom="paragraph">
                  <wp:posOffset>-253365</wp:posOffset>
                </wp:positionV>
                <wp:extent cx="1216025" cy="154940"/>
                <wp:effectExtent l="0" t="0" r="3175" b="0"/>
                <wp:wrapNone/>
                <wp:docPr id="16" name="Rectángulo 16"/>
                <wp:cNvGraphicFramePr/>
                <a:graphic xmlns:a="http://schemas.openxmlformats.org/drawingml/2006/main">
                  <a:graphicData uri="http://schemas.microsoft.com/office/word/2010/wordprocessingShape">
                    <wps:wsp>
                      <wps:cNvSpPr/>
                      <wps:spPr>
                        <a:xfrm>
                          <a:off x="0" y="0"/>
                          <a:ext cx="1216025" cy="154940"/>
                        </a:xfrm>
                        <a:prstGeom prst="rect">
                          <a:avLst/>
                        </a:prstGeom>
                        <a:solidFill>
                          <a:srgbClr val="FFC000"/>
                        </a:solidFill>
                        <a:ln>
                          <a:noFill/>
                        </a:ln>
                      </wps:spPr>
                      <wps:txbx>
                        <w:txbxContent>
                          <w:p w14:paraId="37049C01"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6AEA2A01" id="Rectángulo 16" o:spid="_x0000_s1027" style="position:absolute;margin-left:407.75pt;margin-top:-19.95pt;width:95.75pt;height:1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V83wEAAKoDAAAOAAAAZHJzL2Uyb0RvYy54bWysU1GO0zAQ/UfiDpb/aZKqW7FR0xXqKghp&#10;BRW7HMBx7MSSY5ux26TH4SxcjLHTdgv8IX4cv/F4/N6byeZhGjQ5CvDKmooWi5wSYbhtlekq+u2l&#10;fveeEh+YaZm2RlT0JDx92L59sxldKZa2t7oVQLCI8eXoKtqH4Mos87wXA/ML64TBQ2lhYAEhdFkL&#10;bMTqg86Web7ORgutA8uF9xh9nA/pNtWXUvDwRUovAtEVRW4hrZDWJq7ZdsPKDpjrFT/TYP/AYmDK&#10;4KPXUo8sMHIA9VepQXGw3sqw4HbIrJSKi6QB1RT5H2qee+ZE0oLmeHe1yf+/svzzcQ9Etdi7NSWG&#10;Ddijr+jazx+mO2hLMIoWjc6XmPns9nBGHrdR7yRhiF9UQqZk6+lqq5gC4RgslsU6X95RwvGsuFvd&#10;r5Lv2ettBz58FHYgcVNRQALJTXZ88gFfxNRLSnzMW63aWmmdAHTNTgM5MmxxXe/y/FL9tzRtYrKx&#10;8dpcMUayqGzWEndhaqbZjIvqxrYnNMg7Xivk9sR82DPAESkoGXFsKuq/HxgISvQng325L1ZRabgF&#10;cAuaW8AM7y1OIw9AyQx2IU3nTPbDIVipkgOR3kzmzBoHIhlzHt44cbc4Zb3+YttfAAAA//8DAFBL&#10;AwQUAAYACAAAACEAxy/0TOIAAAAMAQAADwAAAGRycy9kb3ducmV2LnhtbEyPwU7DMBBE70j8g7VI&#10;3FonhdA2xKkAiQpVXGiLxNGNt0nUeB3FbhP4ejYnOO7M0+xMthpsIy7Y+dqRgngagUAqnKmpVLDf&#10;vU4WIHzQZHTjCBV8o4dVfn2V6dS4nj7wsg2l4BDyqVZQhdCmUvqiQqv91LVI7B1dZ3Xgsyul6XTP&#10;4baRsyh6kFbXxB8q3eJLhcVpe7YK5uZ0DD9xMvt6/3w29/1m3a/frFK3N8PTI4iAQ/iDYazP1SHn&#10;Tgd3JuNFo2ARJwmjCiZ3yyWIkYiiOc87sDR6Ms/k/xH5LwAAAP//AwBQSwECLQAUAAYACAAAACEA&#10;toM4kv4AAADhAQAAEwAAAAAAAAAAAAAAAAAAAAAAW0NvbnRlbnRfVHlwZXNdLnhtbFBLAQItABQA&#10;BgAIAAAAIQA4/SH/1gAAAJQBAAALAAAAAAAAAAAAAAAAAC8BAABfcmVscy8ucmVsc1BLAQItABQA&#10;BgAIAAAAIQDUO6V83wEAAKoDAAAOAAAAAAAAAAAAAAAAAC4CAABkcnMvZTJvRG9jLnhtbFBLAQIt&#10;ABQABgAIAAAAIQDHL/RM4gAAAAwBAAAPAAAAAAAAAAAAAAAAADkEAABkcnMvZG93bnJldi54bWxQ&#10;SwUGAAAAAAQABADzAAAASAUAAAAA&#10;" fillcolor="#ffc000" stroked="f">
                <v:textbox inset="2.53958mm,2.53958mm,2.53958mm,2.53958mm">
                  <w:txbxContent>
                    <w:p w14:paraId="37049C01" w14:textId="77777777" w:rsidR="00924B7F" w:rsidRPr="00F16299" w:rsidRDefault="00924B7F">
                      <w:pPr>
                        <w:spacing w:after="0" w:line="240" w:lineRule="auto"/>
                        <w:textDirection w:val="btLr"/>
                      </w:pPr>
                    </w:p>
                  </w:txbxContent>
                </v:textbox>
              </v:rect>
            </w:pict>
          </mc:Fallback>
        </mc:AlternateContent>
      </w:r>
      <w:r w:rsidRPr="00F16299">
        <w:rPr>
          <w:noProof/>
        </w:rPr>
        <mc:AlternateContent>
          <mc:Choice Requires="wps">
            <w:drawing>
              <wp:anchor distT="0" distB="0" distL="114300" distR="114300" simplePos="0" relativeHeight="251660288" behindDoc="0" locked="0" layoutInCell="1" hidden="0" allowOverlap="1" wp14:anchorId="60949553" wp14:editId="0B19EE0D">
                <wp:simplePos x="0" y="0"/>
                <wp:positionH relativeFrom="column">
                  <wp:posOffset>5178425</wp:posOffset>
                </wp:positionH>
                <wp:positionV relativeFrom="paragraph">
                  <wp:posOffset>25400</wp:posOffset>
                </wp:positionV>
                <wp:extent cx="1216025" cy="301625"/>
                <wp:effectExtent l="0" t="0" r="3175" b="3175"/>
                <wp:wrapNone/>
                <wp:docPr id="18" name="Rectángulo 18"/>
                <wp:cNvGraphicFramePr/>
                <a:graphic xmlns:a="http://schemas.openxmlformats.org/drawingml/2006/main">
                  <a:graphicData uri="http://schemas.microsoft.com/office/word/2010/wordprocessingShape">
                    <wps:wsp>
                      <wps:cNvSpPr/>
                      <wps:spPr>
                        <a:xfrm>
                          <a:off x="0" y="0"/>
                          <a:ext cx="1216025" cy="301625"/>
                        </a:xfrm>
                        <a:prstGeom prst="rect">
                          <a:avLst/>
                        </a:prstGeom>
                        <a:solidFill>
                          <a:srgbClr val="FFC000"/>
                        </a:solidFill>
                        <a:ln>
                          <a:noFill/>
                        </a:ln>
                      </wps:spPr>
                      <wps:txbx>
                        <w:txbxContent>
                          <w:p w14:paraId="7BF5F1FB"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60949553" id="Rectángulo 18" o:spid="_x0000_s1028" style="position:absolute;margin-left:407.75pt;margin-top:2pt;width:95.75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fR4AEAAKoDAAAOAAAAZHJzL2Uyb0RvYy54bWysU9uO0zAQfUfiHyy/01yACqKmK9RVENIK&#10;ql34AMexE0uObcZuk34O38KPMXa63bL7hnhxPOPx8TlnJpubedTkKMAra2parHJKhOG2U6av6Y/v&#10;zZsPlPjATMe0NaKmJ+Hpzfb1q83kKlHawepOAEEQ46vJ1XQIwVVZ5vkgRuZX1gmDh9LCyAKG0Gcd&#10;sAnRR52Veb7OJgudA8uF95i9XQ7pNuFLKXj4JqUXgeiaIreQVkhrG9dsu2FVD8wNip9psH9gMTJl&#10;8NEL1C0LjBxAvYAaFQfrrQwrbsfMSqm4SBpQTZE/U/MwMCeSFjTHu4tN/v/B8q/HPRDVYe+wU4aN&#10;2KN7dO33L9MftCWYRYsm5yusfHB7OEcet1HvLGGMX1RC5mTr6WKrmAPhmCzKYp2X7ynhePY2L9a4&#10;R5js6bYDHz4LO5K4qSkggeQmO975sJQ+lsTHvNWqa5TWKYC+3WkgR4YtbppdnqeuIvpfZdrEYmPj&#10;tQUxZrKobNESd2Fu52RG+ai6td0JDfKONwq53TEf9gxwRApKJhybmvqfBwaCEv3FYF8+Fu+i0nAd&#10;wHXQXgfM8MHiNPIAlCzBLqTpXMh+OgQrVXIg0lvInFnjQCQPz8MbJ+46TlVPv9j2DwAAAP//AwBQ&#10;SwMEFAAGAAgAAAAhABvHq23fAAAACQEAAA8AAABkcnMvZG93bnJldi54bWxMj8FOwzAQRO9I/IO1&#10;SNyonaqmVcimAiQqhLhQQOLoxm4SNV5HsdsEvp7tCW47mtHsm2I9+U6c3BDbQAjZTIFwVAXbUo3w&#10;8f50swIRkyFrukAO4dtFWJeXF4XJbRjpzZ22qRZcQjE3CE1KfS5lrBrnTZyF3hF7+zB4k1gOtbSD&#10;Gbncd3Ku1K30piX+0JjePTauOmyPHmFpD/v0k+n51+vng12ML5tx8+wRr6+m+zsQyU3pLwxnfEaH&#10;kpl24Ug2ig5hlWnNUYQFTzr7Si352iHoTIMsC/l/QfkLAAD//wMAUEsBAi0AFAAGAAgAAAAhALaD&#10;OJL+AAAA4QEAABMAAAAAAAAAAAAAAAAAAAAAAFtDb250ZW50X1R5cGVzXS54bWxQSwECLQAUAAYA&#10;CAAAACEAOP0h/9YAAACUAQAACwAAAAAAAAAAAAAAAAAvAQAAX3JlbHMvLnJlbHNQSwECLQAUAAYA&#10;CAAAACEAVxMn0eABAACqAwAADgAAAAAAAAAAAAAAAAAuAgAAZHJzL2Uyb0RvYy54bWxQSwECLQAU&#10;AAYACAAAACEAG8erbd8AAAAJAQAADwAAAAAAAAAAAAAAAAA6BAAAZHJzL2Rvd25yZXYueG1sUEsF&#10;BgAAAAAEAAQA8wAAAEYFAAAAAA==&#10;" fillcolor="#ffc000" stroked="f">
                <v:textbox inset="2.53958mm,2.53958mm,2.53958mm,2.53958mm">
                  <w:txbxContent>
                    <w:p w14:paraId="7BF5F1FB" w14:textId="77777777" w:rsidR="00924B7F" w:rsidRPr="00F16299" w:rsidRDefault="00924B7F">
                      <w:pPr>
                        <w:spacing w:after="0" w:line="240" w:lineRule="auto"/>
                        <w:textDirection w:val="btLr"/>
                      </w:pPr>
                    </w:p>
                  </w:txbxContent>
                </v:textbox>
              </v:rect>
            </w:pict>
          </mc:Fallback>
        </mc:AlternateContent>
      </w:r>
      <w:r w:rsidRPr="00F16299">
        <w:rPr>
          <w:noProof/>
        </w:rPr>
        <mc:AlternateContent>
          <mc:Choice Requires="wps">
            <w:drawing>
              <wp:anchor distT="0" distB="0" distL="114300" distR="114300" simplePos="0" relativeHeight="251659264" behindDoc="0" locked="0" layoutInCell="1" hidden="0" allowOverlap="1" wp14:anchorId="1EF31CEF" wp14:editId="59D69667">
                <wp:simplePos x="0" y="0"/>
                <wp:positionH relativeFrom="column">
                  <wp:posOffset>5178425</wp:posOffset>
                </wp:positionH>
                <wp:positionV relativeFrom="paragraph">
                  <wp:posOffset>495300</wp:posOffset>
                </wp:positionV>
                <wp:extent cx="1216025" cy="154940"/>
                <wp:effectExtent l="0" t="0" r="3175" b="0"/>
                <wp:wrapNone/>
                <wp:docPr id="17" name="Rectángulo 17"/>
                <wp:cNvGraphicFramePr/>
                <a:graphic xmlns:a="http://schemas.openxmlformats.org/drawingml/2006/main">
                  <a:graphicData uri="http://schemas.microsoft.com/office/word/2010/wordprocessingShape">
                    <wps:wsp>
                      <wps:cNvSpPr/>
                      <wps:spPr>
                        <a:xfrm>
                          <a:off x="0" y="0"/>
                          <a:ext cx="1216025" cy="154940"/>
                        </a:xfrm>
                        <a:prstGeom prst="rect">
                          <a:avLst/>
                        </a:prstGeom>
                        <a:solidFill>
                          <a:schemeClr val="lt1"/>
                        </a:solidFill>
                        <a:ln>
                          <a:noFill/>
                        </a:ln>
                      </wps:spPr>
                      <wps:txbx>
                        <w:txbxContent>
                          <w:p w14:paraId="3555D3C8"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1EF31CEF" id="Rectángulo 17" o:spid="_x0000_s1029" style="position:absolute;margin-left:407.75pt;margin-top:39pt;width:95.75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I/3wEAAKkDAAAOAAAAZHJzL2Uyb0RvYy54bWysU1uO0zAU/UdiD5b/aZLSGZio6QjNqAhp&#10;BNUMLMB1nMaSX9zrNulyWAsb49rpdAr8IX4c34evzzk+Wd6O1rCDAtTeNbyalZwpJ32r3a7h376u&#10;37znDKNwrTDeqYYfFfLb1etXyyHUau57b1oFjIY4rIfQ8D7GUBcFyl5ZgTMflKNi58GKSCHsihbE&#10;QNOtKeZleV0MHtoAXipEyt5PRb7K87tOyfil61BFZhpO2GJeIa/btBarpah3IEKv5QmG+AcUVmhH&#10;l55H3Yso2B70X6OsluDRd3EmvS1812mpMgdiU5V/sHnqRVCZC4mD4SwT/r+x8vNhA0y39HbvOHPC&#10;0hs9kmo/f7jd3nhGWZJoCFhT51PYwClC2ia+Ywc2fYkJG7Osx7OsaoxMUrKaV9fl/IozSbXqanGz&#10;yLoXL6cDYPyovGVp03AgAFlNcXjASDdS63NLugy90e1aG5ODZBV1Z4AdBD2yiVVCTCd+6zIu9Tqf&#10;Tk3llCkSsYlK2sVxO2Yt3j6T3vr2SPpgkGtN0B4Exo0AckjF2UCuaTh+3wtQnJlPjp7lplokovEy&#10;gMtgexkIJ3tPZpQROJuCu5jNOYH9sI++01mABG8Cc0JNfsgsT95NhruMc9fLH7b6BQAA//8DAFBL&#10;AwQUAAYACAAAACEA/dcgmd0AAAALAQAADwAAAGRycy9kb3ducmV2LnhtbEyPwU7DMBBE70j8g7VI&#10;3KjdqqFWiFNFSEW9cGiBuxsvsUW8jmK3DX9f5wS3Ge3T7Ey1nXzPLjhGF0jBciGAIbXBOOoUfH7s&#10;niSwmDQZ3QdCBb8YYVvf31W6NOFKB7wcU8dyCMVSK7ApDSXnsbXodVyEASnfvsPodcp27LgZ9TWH&#10;+56vhHjmXjvKH6we8NVi+3M8ewXmvVgfdq2VToa901/YmDdqlHp8mJoXYAmn9AfDXD9Xhzp3OoUz&#10;mch6BXJZFBlVsJF50wwIscnqNKvVGnhd8f8b6hsAAAD//wMAUEsBAi0AFAAGAAgAAAAhALaDOJL+&#10;AAAA4QEAABMAAAAAAAAAAAAAAAAAAAAAAFtDb250ZW50X1R5cGVzXS54bWxQSwECLQAUAAYACAAA&#10;ACEAOP0h/9YAAACUAQAACwAAAAAAAAAAAAAAAAAvAQAAX3JlbHMvLnJlbHNQSwECLQAUAAYACAAA&#10;ACEABRKCP98BAACpAwAADgAAAAAAAAAAAAAAAAAuAgAAZHJzL2Uyb0RvYy54bWxQSwECLQAUAAYA&#10;CAAAACEA/dcgmd0AAAALAQAADwAAAAAAAAAAAAAAAAA5BAAAZHJzL2Rvd25yZXYueG1sUEsFBgAA&#10;AAAEAAQA8wAAAEMFAAAAAA==&#10;" fillcolor="white [3201]" stroked="f">
                <v:textbox inset="2.53958mm,2.53958mm,2.53958mm,2.53958mm">
                  <w:txbxContent>
                    <w:p w14:paraId="3555D3C8" w14:textId="77777777" w:rsidR="00924B7F" w:rsidRPr="00F16299" w:rsidRDefault="00924B7F">
                      <w:pPr>
                        <w:spacing w:after="0" w:line="240" w:lineRule="auto"/>
                        <w:textDirection w:val="btLr"/>
                      </w:pPr>
                    </w:p>
                  </w:txbxContent>
                </v:textbox>
              </v:rect>
            </w:pict>
          </mc:Fallback>
        </mc:AlternateContent>
      </w:r>
    </w:p>
    <w:p w14:paraId="00BA2ECE" w14:textId="4D40CE3C" w:rsidR="00924B7F" w:rsidRPr="00F16299" w:rsidRDefault="00B56F32">
      <w:pPr>
        <w:rPr>
          <w:b/>
          <w:sz w:val="48"/>
          <w:szCs w:val="48"/>
        </w:rPr>
      </w:pPr>
      <w:r w:rsidRPr="00F16299">
        <w:rPr>
          <w:noProof/>
        </w:rPr>
        <mc:AlternateContent>
          <mc:Choice Requires="wps">
            <w:drawing>
              <wp:anchor distT="0" distB="0" distL="114300" distR="114300" simplePos="0" relativeHeight="251662336" behindDoc="0" locked="0" layoutInCell="1" hidden="0" allowOverlap="1" wp14:anchorId="0AA11D7B" wp14:editId="61D0B991">
                <wp:simplePos x="0" y="0"/>
                <wp:positionH relativeFrom="column">
                  <wp:posOffset>5178425</wp:posOffset>
                </wp:positionH>
                <wp:positionV relativeFrom="paragraph">
                  <wp:posOffset>292100</wp:posOffset>
                </wp:positionV>
                <wp:extent cx="1216025" cy="485013"/>
                <wp:effectExtent l="0" t="0" r="3175" b="0"/>
                <wp:wrapNone/>
                <wp:docPr id="19" name="Rectángulo 19"/>
                <wp:cNvGraphicFramePr/>
                <a:graphic xmlns:a="http://schemas.openxmlformats.org/drawingml/2006/main">
                  <a:graphicData uri="http://schemas.microsoft.com/office/word/2010/wordprocessingShape">
                    <wps:wsp>
                      <wps:cNvSpPr/>
                      <wps:spPr>
                        <a:xfrm>
                          <a:off x="0" y="0"/>
                          <a:ext cx="1216025" cy="485013"/>
                        </a:xfrm>
                        <a:prstGeom prst="rect">
                          <a:avLst/>
                        </a:prstGeom>
                        <a:solidFill>
                          <a:srgbClr val="FFC000"/>
                        </a:solidFill>
                        <a:ln>
                          <a:noFill/>
                        </a:ln>
                      </wps:spPr>
                      <wps:txbx>
                        <w:txbxContent>
                          <w:p w14:paraId="595906EB"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0AA11D7B" id="Rectángulo 19" o:spid="_x0000_s1030" style="position:absolute;margin-left:407.75pt;margin-top:23pt;width:95.75pt;height:38.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Sg4QEAAKoDAAAOAAAAZHJzL2Uyb0RvYy54bWysU0Fu2zAQvBfoHwjea0muEySC5aBwoKJA&#10;0BpJ8wCKIiUCFMkuaUt+Tt/Sj3VJOY6b3opeKO5yOZyZXa3vpkGTgwCvrKloscgpEYbbVpmuos/f&#10;6w83lPjATMu0NaKiR+Hp3eb9u/XoSrG0vdWtAIIgxpejq2gfgiuzzPNeDMwvrBMGD6WFgQUMocta&#10;YCOiDzpb5vl1NlpoHVguvMfs/XxINwlfSsHDNym9CERXFLmFtEJam7hmmzUrO2CuV/xEg/0Di4Ep&#10;g4+eoe5ZYGQP6i+oQXGw3sqw4HbIrJSKi6QB1RT5GzVPPXMiaUFzvDvb5P8fLP962AFRLfbulhLD&#10;BuzRI7r266fp9toSzKJFo/MlVj65HZwij9uod5IwxC8qIVOy9Xi2VUyBcEwWy+I6X15RwvFsdXOV&#10;Fx8jaPZ624EPn4UdSNxUFJBAcpMdHnyYS19K4mPeatXWSusUQNdsNZADwxbX9TbPU1cR/Y8ybWKx&#10;sfHajBgzWVQ2a4m7MDVTMmP1orqx7REN8o7XCrk9MB92DHBECkpGHJuK+h97BoIS/cVgX26LVVQa&#10;LgO4DJrLgBneW5xGHoCSOdiGNJ0z2U/7YKVKDkR6M5kTaxyI5OFpeOPEXcap6vUX2/wGAAD//wMA&#10;UEsDBBQABgAIAAAAIQC8d1DP4QAAAAsBAAAPAAAAZHJzL2Rvd25yZXYueG1sTI9BS8NAEIXvgv9h&#10;GcGb3SQkbUmzKSpYRLy0KvS4zU6T0OxsyG6b6K93etLbe8zHm/eK9WQ7ccHBt44UxLMIBFLlTEu1&#10;gs+Pl4clCB80Gd05QgXf6GFd3t4UOjdupC1edqEWHEI+1wqaEPpcSl81aLWfuR6Jb0c3WB3YDrU0&#10;gx453HYyiaK5tLol/tDoHp8brE67s1WwMKdj+ImzZP/+9WTS8W0zbl6tUvd30+MKRMAp/MFwrc/V&#10;oeROB3cm40WnYBlnGaMK0jlvugJRtGB1YJUkKciykP83lL8AAAD//wMAUEsBAi0AFAAGAAgAAAAh&#10;ALaDOJL+AAAA4QEAABMAAAAAAAAAAAAAAAAAAAAAAFtDb250ZW50X1R5cGVzXS54bWxQSwECLQAU&#10;AAYACAAAACEAOP0h/9YAAACUAQAACwAAAAAAAAAAAAAAAAAvAQAAX3JlbHMvLnJlbHNQSwECLQAU&#10;AAYACAAAACEA7EokoOEBAACqAwAADgAAAAAAAAAAAAAAAAAuAgAAZHJzL2Uyb0RvYy54bWxQSwEC&#10;LQAUAAYACAAAACEAvHdQz+EAAAALAQAADwAAAAAAAAAAAAAAAAA7BAAAZHJzL2Rvd25yZXYueG1s&#10;UEsFBgAAAAAEAAQA8wAAAEkFAAAAAA==&#10;" fillcolor="#ffc000" stroked="f">
                <v:textbox inset="2.53958mm,2.53958mm,2.53958mm,2.53958mm">
                  <w:txbxContent>
                    <w:p w14:paraId="595906EB" w14:textId="77777777" w:rsidR="00924B7F" w:rsidRPr="00F16299" w:rsidRDefault="00924B7F">
                      <w:pPr>
                        <w:spacing w:after="0" w:line="240" w:lineRule="auto"/>
                        <w:textDirection w:val="btLr"/>
                      </w:pPr>
                    </w:p>
                  </w:txbxContent>
                </v:textbox>
              </v:rect>
            </w:pict>
          </mc:Fallback>
        </mc:AlternateContent>
      </w:r>
    </w:p>
    <w:p w14:paraId="5A37933D" w14:textId="77777777" w:rsidR="005F21F7" w:rsidRDefault="005F21F7" w:rsidP="005F21F7">
      <w:pPr>
        <w:rPr>
          <w:b/>
          <w:color w:val="7030A0"/>
          <w:sz w:val="48"/>
          <w:szCs w:val="48"/>
        </w:rPr>
      </w:pPr>
    </w:p>
    <w:p w14:paraId="45FE441E" w14:textId="77777777" w:rsidR="00BB6ED2" w:rsidRDefault="00BB6ED2" w:rsidP="007D51C7">
      <w:pPr>
        <w:jc w:val="both"/>
        <w:rPr>
          <w:color w:val="7030A0"/>
        </w:rPr>
      </w:pPr>
      <w:r>
        <w:rPr>
          <w:b/>
          <w:color w:val="7030A0"/>
          <w:sz w:val="48"/>
          <w:szCs w:val="48"/>
        </w:rPr>
        <w:t>Anexo 14. Guía para construir narrativas y estrategias comunicaciones cuidadoras.</w:t>
      </w:r>
      <w:r>
        <w:rPr>
          <w:color w:val="7030A0"/>
        </w:rPr>
        <w:t xml:space="preserve"> </w:t>
      </w:r>
    </w:p>
    <w:p w14:paraId="43EF1CA7" w14:textId="77777777" w:rsidR="00F629AD" w:rsidRDefault="00F629AD" w:rsidP="00BB6ED2">
      <w:pPr>
        <w:spacing w:before="280" w:after="280" w:line="240" w:lineRule="auto"/>
        <w:jc w:val="both"/>
        <w:rPr>
          <w:color w:val="000000"/>
        </w:rPr>
      </w:pPr>
      <w:bookmarkStart w:id="0" w:name="_heading=h.8yj7mq5c86xn" w:colFirst="0" w:colLast="0"/>
      <w:bookmarkEnd w:id="0"/>
    </w:p>
    <w:p w14:paraId="71CF5185" w14:textId="72D080EE" w:rsidR="00BB6ED2" w:rsidRDefault="00BB6ED2" w:rsidP="00BB6ED2">
      <w:pPr>
        <w:spacing w:before="280" w:after="280" w:line="240" w:lineRule="auto"/>
        <w:jc w:val="both"/>
        <w:rPr>
          <w:color w:val="000000"/>
        </w:rPr>
      </w:pPr>
      <w:r>
        <w:rPr>
          <w:color w:val="000000"/>
        </w:rPr>
        <w:t>Hoy en día, entendemos la cultura ciudadana como un enfoque de política pública que le apuesta a la transformación social a partir del ejercicio de la auto y mutua regulación en los espacios en los que se ejerce la ciudadanía. Esta se basa en dos consideraciones:</w:t>
      </w:r>
    </w:p>
    <w:p w14:paraId="3977512E" w14:textId="5E28804F" w:rsidR="00BB6ED2" w:rsidRDefault="00BB6ED2" w:rsidP="00BB6ED2">
      <w:pPr>
        <w:numPr>
          <w:ilvl w:val="0"/>
          <w:numId w:val="10"/>
        </w:numPr>
        <w:spacing w:before="280" w:after="280" w:line="240" w:lineRule="auto"/>
        <w:jc w:val="both"/>
        <w:rPr>
          <w:color w:val="000000"/>
        </w:rPr>
      </w:pPr>
      <w:r>
        <w:rPr>
          <w:color w:val="000000"/>
        </w:rPr>
        <w:t>Ir más allá de aumentar multas, robustecer la ley o incrementar el castigo, pues es claro que reglas informales (morales y sociales) que influyen en nuestras realidades, razón por la cual, una política de cultura ciudadana se enfoca en trabajar en estas reglas i</w:t>
      </w:r>
      <w:bookmarkStart w:id="1" w:name="_GoBack"/>
      <w:bookmarkEnd w:id="1"/>
      <w:r>
        <w:rPr>
          <w:color w:val="000000"/>
        </w:rPr>
        <w:t>nformales.</w:t>
      </w:r>
    </w:p>
    <w:p w14:paraId="317220E9" w14:textId="77777777" w:rsidR="00BB6ED2" w:rsidRDefault="00BB6ED2" w:rsidP="00BB6ED2">
      <w:pPr>
        <w:numPr>
          <w:ilvl w:val="0"/>
          <w:numId w:val="10"/>
        </w:numPr>
        <w:spacing w:before="280" w:after="280" w:line="240" w:lineRule="auto"/>
        <w:jc w:val="both"/>
        <w:rPr>
          <w:color w:val="000000"/>
        </w:rPr>
      </w:pPr>
      <w:r>
        <w:rPr>
          <w:color w:val="000000"/>
        </w:rPr>
        <w:t>La cultura ciudadana promueve la autorregulación y la regulación social. Comprender e investigar a fondo las motivaciones del comportamiento humano pues sabemos que podemos lograr más beneficios sociales si las entendemos y promovemos una transformación voluntaria y activa.</w:t>
      </w:r>
    </w:p>
    <w:p w14:paraId="02656443" w14:textId="1456B9F4" w:rsidR="00BB6ED2" w:rsidRDefault="00BB6ED2" w:rsidP="00BB6ED2">
      <w:pPr>
        <w:spacing w:before="280" w:after="280" w:line="240" w:lineRule="auto"/>
        <w:jc w:val="both"/>
        <w:rPr>
          <w:color w:val="000000"/>
        </w:rPr>
      </w:pPr>
      <w:r>
        <w:rPr>
          <w:color w:val="000000"/>
        </w:rPr>
        <w:t>Por esto, comprendemos que es necesario identificar y orientar la construcción de narrativas que tenemos los ciudadanos acerca de nuestros comportamientos y nuestra ciudad, de tal forma que logremos generar una articulación con la ciudadanía y un autorreconocimiento de los ciudadanos como agentes de transformación cultural.</w:t>
      </w:r>
    </w:p>
    <w:p w14:paraId="2C50C091" w14:textId="77777777" w:rsidR="00BB6ED2" w:rsidRDefault="00BB6ED2" w:rsidP="00BB6ED2">
      <w:pPr>
        <w:spacing w:before="280" w:after="280" w:line="240" w:lineRule="auto"/>
        <w:jc w:val="both"/>
        <w:rPr>
          <w:i/>
          <w:color w:val="000000"/>
          <w:sz w:val="8"/>
          <w:szCs w:val="8"/>
        </w:rPr>
      </w:pPr>
      <w:r>
        <w:rPr>
          <w:b/>
          <w:i/>
          <w:color w:val="7030A0"/>
          <w:sz w:val="26"/>
          <w:szCs w:val="26"/>
        </w:rPr>
        <w:t>Consejos para la comunicación de estrategias de Cultura Ciudadana.</w:t>
      </w:r>
    </w:p>
    <w:p w14:paraId="30F83869" w14:textId="77777777" w:rsidR="00BB6ED2" w:rsidRDefault="00BB6ED2" w:rsidP="00BB6ED2">
      <w:pPr>
        <w:numPr>
          <w:ilvl w:val="0"/>
          <w:numId w:val="11"/>
        </w:numPr>
        <w:spacing w:before="280" w:after="280" w:line="240" w:lineRule="auto"/>
        <w:jc w:val="both"/>
        <w:rPr>
          <w:color w:val="000000"/>
        </w:rPr>
      </w:pPr>
      <w:r>
        <w:rPr>
          <w:color w:val="000000"/>
        </w:rPr>
        <w:t xml:space="preserve">Recordar que somos ciudadanos: debemos recordar a través de nuestras estrategias de comunicación y de construcción de narrativas, que nos estamos comunicando con un conjunto de ciudadanos que tienen derechos y deberes relacionados con la convivencia. Para diseñar mensajes de cambio cultural, hazlo partiendo de la idea de que cada ciudadano puede convertirse en un agente de transformación: alguien que tiene la capacidad de cambiar y de influenciar a los demás para que también cambien. </w:t>
      </w:r>
      <w:hyperlink r:id="rId9">
        <w:r>
          <w:rPr>
            <w:color w:val="1155CC"/>
            <w:u w:val="single"/>
          </w:rPr>
          <w:t xml:space="preserve">Dé </w:t>
        </w:r>
        <w:proofErr w:type="spellStart"/>
        <w:r>
          <w:rPr>
            <w:color w:val="1155CC"/>
            <w:u w:val="single"/>
          </w:rPr>
          <w:t>click</w:t>
        </w:r>
        <w:proofErr w:type="spellEnd"/>
        <w:r>
          <w:rPr>
            <w:color w:val="1155CC"/>
            <w:u w:val="single"/>
          </w:rPr>
          <w:t xml:space="preserve"> aquí para observar un ejemplo.</w:t>
        </w:r>
      </w:hyperlink>
    </w:p>
    <w:p w14:paraId="3D98D226" w14:textId="77777777" w:rsidR="00BB6ED2" w:rsidRDefault="00BB6ED2" w:rsidP="00BB6ED2">
      <w:pPr>
        <w:numPr>
          <w:ilvl w:val="0"/>
          <w:numId w:val="11"/>
        </w:numPr>
        <w:spacing w:before="280" w:after="280" w:line="240" w:lineRule="auto"/>
        <w:jc w:val="both"/>
        <w:rPr>
          <w:color w:val="000000"/>
        </w:rPr>
      </w:pPr>
      <w:r>
        <w:rPr>
          <w:color w:val="000000"/>
        </w:rPr>
        <w:t xml:space="preserve">Usar la comunicación apreciativa: Para construir mensajes para el cambio cultural, resalta los logros de la comunidad antes que las derrotas. Usa la comunicación apreciativa para reconocer aciertos más que problemas. Se trata de invitar a aprender de quien lo ha hecho bien y de celebrar públicamente esos logros. </w:t>
      </w:r>
      <w:hyperlink r:id="rId10">
        <w:r>
          <w:rPr>
            <w:color w:val="1155CC"/>
            <w:u w:val="single"/>
          </w:rPr>
          <w:t xml:space="preserve">Dé </w:t>
        </w:r>
        <w:proofErr w:type="spellStart"/>
        <w:r>
          <w:rPr>
            <w:color w:val="1155CC"/>
            <w:u w:val="single"/>
          </w:rPr>
          <w:t>click</w:t>
        </w:r>
        <w:proofErr w:type="spellEnd"/>
        <w:r>
          <w:rPr>
            <w:color w:val="1155CC"/>
            <w:u w:val="single"/>
          </w:rPr>
          <w:t xml:space="preserve"> aquí para observar un ejemplo</w:t>
        </w:r>
      </w:hyperlink>
      <w:r>
        <w:rPr>
          <w:color w:val="000000"/>
        </w:rPr>
        <w:t xml:space="preserve">. </w:t>
      </w:r>
    </w:p>
    <w:p w14:paraId="2AC2CE44" w14:textId="77777777" w:rsidR="00BB6ED2" w:rsidRDefault="00BB6ED2" w:rsidP="00BB6ED2">
      <w:pPr>
        <w:numPr>
          <w:ilvl w:val="0"/>
          <w:numId w:val="11"/>
        </w:numPr>
        <w:spacing w:before="280" w:after="280" w:line="240" w:lineRule="auto"/>
        <w:jc w:val="both"/>
        <w:rPr>
          <w:color w:val="000000"/>
        </w:rPr>
      </w:pPr>
      <w:r>
        <w:rPr>
          <w:color w:val="000000"/>
        </w:rPr>
        <w:lastRenderedPageBreak/>
        <w:t xml:space="preserve">Evitar jugar el rol del juez: Para construir tus mensajes de cambio cultural no es recomendable hacer las veces de juez. Evita construir mensajes que pretendan imponer el cambio de comportamiento, o señalar y condenar a quienes tienen comportamientos negativos. </w:t>
      </w:r>
    </w:p>
    <w:p w14:paraId="0E6FC965" w14:textId="77777777" w:rsidR="00BB6ED2" w:rsidRDefault="00045461" w:rsidP="00DD0CB5">
      <w:pPr>
        <w:numPr>
          <w:ilvl w:val="1"/>
          <w:numId w:val="11"/>
        </w:numPr>
        <w:spacing w:before="120" w:after="120" w:line="240" w:lineRule="auto"/>
        <w:ind w:left="1434" w:hanging="357"/>
        <w:jc w:val="both"/>
      </w:pPr>
      <w:hyperlink r:id="rId11">
        <w:r w:rsidR="00BB6ED2">
          <w:rPr>
            <w:color w:val="1155CC"/>
            <w:u w:val="single"/>
          </w:rPr>
          <w:t>Ejemplo 1.</w:t>
        </w:r>
      </w:hyperlink>
    </w:p>
    <w:p w14:paraId="718DCE20" w14:textId="77777777" w:rsidR="00BB6ED2" w:rsidRDefault="00045461" w:rsidP="00DD0CB5">
      <w:pPr>
        <w:numPr>
          <w:ilvl w:val="1"/>
          <w:numId w:val="11"/>
        </w:numPr>
        <w:spacing w:before="120" w:after="120" w:line="240" w:lineRule="auto"/>
        <w:ind w:left="1434" w:hanging="357"/>
        <w:jc w:val="both"/>
      </w:pPr>
      <w:hyperlink r:id="rId12">
        <w:r w:rsidR="00BB6ED2">
          <w:rPr>
            <w:color w:val="1155CC"/>
            <w:u w:val="single"/>
          </w:rPr>
          <w:t>Ejemplo 2.</w:t>
        </w:r>
      </w:hyperlink>
    </w:p>
    <w:p w14:paraId="6829A8CB" w14:textId="77777777" w:rsidR="00BB6ED2" w:rsidRDefault="00045461" w:rsidP="00DD0CB5">
      <w:pPr>
        <w:numPr>
          <w:ilvl w:val="1"/>
          <w:numId w:val="11"/>
        </w:numPr>
        <w:spacing w:before="120" w:after="120" w:line="240" w:lineRule="auto"/>
        <w:ind w:left="1434" w:hanging="357"/>
        <w:jc w:val="both"/>
      </w:pPr>
      <w:hyperlink r:id="rId13">
        <w:r w:rsidR="00BB6ED2">
          <w:rPr>
            <w:color w:val="1155CC"/>
            <w:u w:val="single"/>
          </w:rPr>
          <w:t>Ejemplo 3.</w:t>
        </w:r>
      </w:hyperlink>
    </w:p>
    <w:p w14:paraId="213D67AA" w14:textId="77777777" w:rsidR="00BB6ED2" w:rsidRDefault="00045461" w:rsidP="00DD0CB5">
      <w:pPr>
        <w:numPr>
          <w:ilvl w:val="1"/>
          <w:numId w:val="11"/>
        </w:numPr>
        <w:spacing w:before="120" w:after="120" w:line="240" w:lineRule="auto"/>
        <w:ind w:left="1434" w:hanging="357"/>
        <w:jc w:val="both"/>
      </w:pPr>
      <w:hyperlink r:id="rId14">
        <w:r w:rsidR="00BB6ED2">
          <w:rPr>
            <w:color w:val="1155CC"/>
            <w:u w:val="single"/>
          </w:rPr>
          <w:t xml:space="preserve">Ejemplo 4. </w:t>
        </w:r>
      </w:hyperlink>
    </w:p>
    <w:p w14:paraId="4BBE9829" w14:textId="77777777" w:rsidR="00BB6ED2" w:rsidRDefault="00045461" w:rsidP="00DD0CB5">
      <w:pPr>
        <w:numPr>
          <w:ilvl w:val="1"/>
          <w:numId w:val="11"/>
        </w:numPr>
        <w:spacing w:before="120" w:after="120" w:line="240" w:lineRule="auto"/>
        <w:ind w:left="1434" w:hanging="357"/>
        <w:jc w:val="both"/>
      </w:pPr>
      <w:hyperlink r:id="rId15">
        <w:r w:rsidR="00BB6ED2">
          <w:rPr>
            <w:color w:val="1155CC"/>
            <w:u w:val="single"/>
          </w:rPr>
          <w:t xml:space="preserve">Ejemplo 5. </w:t>
        </w:r>
      </w:hyperlink>
    </w:p>
    <w:p w14:paraId="69E02799" w14:textId="77777777" w:rsidR="00BB6ED2" w:rsidRDefault="00045461" w:rsidP="00DD0CB5">
      <w:pPr>
        <w:numPr>
          <w:ilvl w:val="1"/>
          <w:numId w:val="11"/>
        </w:numPr>
        <w:spacing w:before="120" w:after="120" w:line="240" w:lineRule="auto"/>
        <w:ind w:left="1434" w:hanging="357"/>
        <w:jc w:val="both"/>
      </w:pPr>
      <w:hyperlink r:id="rId16">
        <w:r w:rsidR="00BB6ED2">
          <w:rPr>
            <w:color w:val="1155CC"/>
            <w:u w:val="single"/>
          </w:rPr>
          <w:t xml:space="preserve">Ejemplo 6. </w:t>
        </w:r>
      </w:hyperlink>
    </w:p>
    <w:p w14:paraId="575BF617" w14:textId="77777777" w:rsidR="00BB6ED2" w:rsidRDefault="00BB6ED2" w:rsidP="00BB6ED2">
      <w:pPr>
        <w:numPr>
          <w:ilvl w:val="0"/>
          <w:numId w:val="11"/>
        </w:numPr>
        <w:spacing w:before="280" w:after="280" w:line="240" w:lineRule="auto"/>
        <w:jc w:val="both"/>
        <w:rPr>
          <w:color w:val="000000"/>
        </w:rPr>
      </w:pPr>
      <w:r>
        <w:rPr>
          <w:color w:val="000000"/>
        </w:rPr>
        <w:t>Usar el principio de consenso: Está comprobado que, cuando las personas están inseguras sobre cómo comportarse, se guían por el comportamiento de los otros. Teniendo este “principio de consenso” en cuenta, construye tus mensajes de cambio cultural haciendo visible el comportamiento positivo de algunos para invitar a que otros cambien su manera de actuar.</w:t>
      </w:r>
    </w:p>
    <w:p w14:paraId="7DFCC491" w14:textId="77777777" w:rsidR="00BB6ED2" w:rsidRDefault="00045461" w:rsidP="00DD0CB5">
      <w:pPr>
        <w:numPr>
          <w:ilvl w:val="1"/>
          <w:numId w:val="11"/>
        </w:numPr>
        <w:spacing w:before="120" w:after="120" w:line="240" w:lineRule="auto"/>
        <w:ind w:left="1434" w:hanging="357"/>
        <w:jc w:val="both"/>
      </w:pPr>
      <w:hyperlink r:id="rId17">
        <w:r w:rsidR="00BB6ED2">
          <w:rPr>
            <w:color w:val="1155CC"/>
            <w:u w:val="single"/>
          </w:rPr>
          <w:t xml:space="preserve">Ejemplo 1. </w:t>
        </w:r>
      </w:hyperlink>
    </w:p>
    <w:p w14:paraId="650DE450" w14:textId="77777777" w:rsidR="00BB6ED2" w:rsidRDefault="00045461" w:rsidP="00DD0CB5">
      <w:pPr>
        <w:numPr>
          <w:ilvl w:val="1"/>
          <w:numId w:val="11"/>
        </w:numPr>
        <w:spacing w:before="120" w:after="120" w:line="240" w:lineRule="auto"/>
        <w:ind w:left="1434" w:hanging="357"/>
        <w:jc w:val="both"/>
      </w:pPr>
      <w:hyperlink r:id="rId18">
        <w:r w:rsidR="00BB6ED2">
          <w:rPr>
            <w:color w:val="1155CC"/>
            <w:u w:val="single"/>
          </w:rPr>
          <w:t xml:space="preserve">Ejemplo 2. </w:t>
        </w:r>
      </w:hyperlink>
    </w:p>
    <w:p w14:paraId="60FCB1CB" w14:textId="77777777" w:rsidR="00BB6ED2" w:rsidRDefault="00045461" w:rsidP="00DD0CB5">
      <w:pPr>
        <w:numPr>
          <w:ilvl w:val="1"/>
          <w:numId w:val="11"/>
        </w:numPr>
        <w:spacing w:before="120" w:after="120" w:line="240" w:lineRule="auto"/>
        <w:ind w:left="1434" w:hanging="357"/>
        <w:jc w:val="both"/>
      </w:pPr>
      <w:hyperlink r:id="rId19">
        <w:r w:rsidR="00BB6ED2">
          <w:rPr>
            <w:color w:val="1155CC"/>
            <w:u w:val="single"/>
          </w:rPr>
          <w:t xml:space="preserve">Ejemplo 3. </w:t>
        </w:r>
      </w:hyperlink>
    </w:p>
    <w:p w14:paraId="593DA5B1" w14:textId="77777777" w:rsidR="00BB6ED2" w:rsidRDefault="00BB6ED2" w:rsidP="00BB6ED2">
      <w:pPr>
        <w:numPr>
          <w:ilvl w:val="0"/>
          <w:numId w:val="11"/>
        </w:numPr>
        <w:spacing w:before="280" w:after="280" w:line="240" w:lineRule="auto"/>
        <w:jc w:val="both"/>
        <w:rPr>
          <w:color w:val="000000"/>
        </w:rPr>
      </w:pPr>
      <w:r>
        <w:rPr>
          <w:color w:val="000000"/>
        </w:rPr>
        <w:t xml:space="preserve">Demostrar que el cambio está ocurriendo: “Si veo a demasiada gente botando basura en la calle, es probable que yo también termine por botar basura en la calle”. Los humanos nos sentimos más motivados a cambiar de comportamiento cuando entramos en contacto con mensajes que hablan en positivo y que demuestran que el cambio ya está ocurriendo. </w:t>
      </w:r>
      <w:hyperlink r:id="rId20">
        <w:r>
          <w:rPr>
            <w:color w:val="1155CC"/>
            <w:u w:val="single"/>
          </w:rPr>
          <w:t xml:space="preserve">Dé </w:t>
        </w:r>
        <w:proofErr w:type="spellStart"/>
        <w:r>
          <w:rPr>
            <w:color w:val="1155CC"/>
            <w:u w:val="single"/>
          </w:rPr>
          <w:t>click</w:t>
        </w:r>
        <w:proofErr w:type="spellEnd"/>
        <w:r>
          <w:rPr>
            <w:color w:val="1155CC"/>
            <w:u w:val="single"/>
          </w:rPr>
          <w:t xml:space="preserve"> aquí para observar un ejemplo.</w:t>
        </w:r>
      </w:hyperlink>
    </w:p>
    <w:p w14:paraId="2D0A5530" w14:textId="77777777" w:rsidR="00BB6ED2" w:rsidRDefault="00BB6ED2" w:rsidP="00BB6ED2">
      <w:pPr>
        <w:numPr>
          <w:ilvl w:val="0"/>
          <w:numId w:val="11"/>
        </w:numPr>
        <w:spacing w:before="280" w:after="280" w:line="240" w:lineRule="auto"/>
        <w:jc w:val="both"/>
        <w:rPr>
          <w:color w:val="000000"/>
        </w:rPr>
      </w:pPr>
      <w:r>
        <w:rPr>
          <w:color w:val="000000"/>
        </w:rPr>
        <w:t xml:space="preserve">Construir historias que inspiren: Para construir mensajes de cambio cultural, evita utilizar en tu campaña imágenes demasiado gráficas que tengan una alta carga de violencia. Gente herida o afectada, con actitud de víctimas o victimarios, frágiles e indefensas o agresivas, situaciones literales de inseguridad, imágenes de accidentes o cualquier tipo de riesgos y siniestros. </w:t>
      </w:r>
    </w:p>
    <w:p w14:paraId="0072DCC5" w14:textId="77777777" w:rsidR="00BB6ED2" w:rsidRDefault="00BB6ED2" w:rsidP="00BB6ED2">
      <w:pPr>
        <w:numPr>
          <w:ilvl w:val="0"/>
          <w:numId w:val="11"/>
        </w:numPr>
        <w:spacing w:before="280" w:after="280" w:line="240" w:lineRule="auto"/>
        <w:jc w:val="both"/>
        <w:rPr>
          <w:color w:val="000000"/>
        </w:rPr>
      </w:pPr>
      <w:r>
        <w:rPr>
          <w:color w:val="000000"/>
        </w:rPr>
        <w:t>Crear relatos incluyentes: Para comunicar el cambio cultural es necesario crear mensajes incluyentes, que rompan los estereotipos negativos y apoyen la libertad de género y de expresión de todos los ciudadanos. Para construir tus mensajes de cambio cultural, evita reforzar con tu campaña los roles problemáticos relacionados a hombres y mujeres, e intenta que el mensaje esté por encima de los estereotipos.</w:t>
      </w:r>
    </w:p>
    <w:p w14:paraId="518C2C3C" w14:textId="77777777" w:rsidR="00BB6ED2" w:rsidRDefault="00045461" w:rsidP="00DD0CB5">
      <w:pPr>
        <w:numPr>
          <w:ilvl w:val="1"/>
          <w:numId w:val="11"/>
        </w:numPr>
        <w:spacing w:before="120" w:after="120" w:line="240" w:lineRule="auto"/>
        <w:ind w:left="1434" w:hanging="357"/>
        <w:jc w:val="both"/>
      </w:pPr>
      <w:hyperlink r:id="rId21">
        <w:r w:rsidR="00BB6ED2">
          <w:rPr>
            <w:color w:val="1155CC"/>
            <w:u w:val="single"/>
          </w:rPr>
          <w:t>Ejemplo 1.</w:t>
        </w:r>
      </w:hyperlink>
    </w:p>
    <w:p w14:paraId="0989DC42" w14:textId="77777777" w:rsidR="00BB6ED2" w:rsidRDefault="00045461" w:rsidP="00DD0CB5">
      <w:pPr>
        <w:numPr>
          <w:ilvl w:val="1"/>
          <w:numId w:val="11"/>
        </w:numPr>
        <w:spacing w:before="120" w:after="120" w:line="240" w:lineRule="auto"/>
        <w:ind w:left="1434" w:hanging="357"/>
        <w:jc w:val="both"/>
      </w:pPr>
      <w:hyperlink r:id="rId22">
        <w:r w:rsidR="00BB6ED2">
          <w:rPr>
            <w:color w:val="1155CC"/>
            <w:u w:val="single"/>
          </w:rPr>
          <w:t xml:space="preserve">Ejemplo 2. </w:t>
        </w:r>
      </w:hyperlink>
    </w:p>
    <w:p w14:paraId="08D3827B" w14:textId="77777777" w:rsidR="00BB6ED2" w:rsidRDefault="00045461" w:rsidP="00DD0CB5">
      <w:pPr>
        <w:numPr>
          <w:ilvl w:val="1"/>
          <w:numId w:val="11"/>
        </w:numPr>
        <w:spacing w:before="120" w:after="120" w:line="240" w:lineRule="auto"/>
        <w:ind w:left="1434" w:hanging="357"/>
        <w:jc w:val="both"/>
      </w:pPr>
      <w:hyperlink r:id="rId23">
        <w:r w:rsidR="00BB6ED2">
          <w:rPr>
            <w:color w:val="1155CC"/>
            <w:u w:val="single"/>
          </w:rPr>
          <w:t xml:space="preserve">Ejemplo 3. </w:t>
        </w:r>
      </w:hyperlink>
    </w:p>
    <w:p w14:paraId="35416C7F" w14:textId="77777777" w:rsidR="00BB6ED2" w:rsidRDefault="00045461" w:rsidP="00DD0CB5">
      <w:pPr>
        <w:numPr>
          <w:ilvl w:val="1"/>
          <w:numId w:val="11"/>
        </w:numPr>
        <w:spacing w:before="120" w:after="120" w:line="240" w:lineRule="auto"/>
        <w:ind w:left="1434" w:hanging="357"/>
        <w:jc w:val="both"/>
      </w:pPr>
      <w:hyperlink r:id="rId24">
        <w:r w:rsidR="00BB6ED2">
          <w:rPr>
            <w:color w:val="1155CC"/>
            <w:u w:val="single"/>
          </w:rPr>
          <w:t xml:space="preserve">Ejemplo 4. </w:t>
        </w:r>
      </w:hyperlink>
    </w:p>
    <w:p w14:paraId="29EC0660" w14:textId="77777777" w:rsidR="00BB6ED2" w:rsidRDefault="00045461" w:rsidP="00DD0CB5">
      <w:pPr>
        <w:numPr>
          <w:ilvl w:val="1"/>
          <w:numId w:val="11"/>
        </w:numPr>
        <w:spacing w:before="120" w:after="120" w:line="240" w:lineRule="auto"/>
        <w:ind w:left="1434" w:hanging="357"/>
        <w:jc w:val="both"/>
      </w:pPr>
      <w:hyperlink r:id="rId25">
        <w:r w:rsidR="00BB6ED2">
          <w:rPr>
            <w:color w:val="1155CC"/>
            <w:u w:val="single"/>
          </w:rPr>
          <w:t>Ejemplo 5.</w:t>
        </w:r>
      </w:hyperlink>
    </w:p>
    <w:p w14:paraId="5EBD5A3A" w14:textId="77777777" w:rsidR="00BB6ED2" w:rsidRDefault="00045461" w:rsidP="00DD0CB5">
      <w:pPr>
        <w:numPr>
          <w:ilvl w:val="1"/>
          <w:numId w:val="11"/>
        </w:numPr>
        <w:spacing w:before="120" w:after="120" w:line="240" w:lineRule="auto"/>
        <w:ind w:left="1434" w:hanging="357"/>
        <w:jc w:val="both"/>
      </w:pPr>
      <w:hyperlink r:id="rId26">
        <w:r w:rsidR="00BB6ED2">
          <w:rPr>
            <w:color w:val="1155CC"/>
            <w:u w:val="single"/>
          </w:rPr>
          <w:t>Ejemplo 6.</w:t>
        </w:r>
      </w:hyperlink>
    </w:p>
    <w:p w14:paraId="213B5C9B" w14:textId="77777777" w:rsidR="00BB6ED2" w:rsidRDefault="00045461" w:rsidP="00DD0CB5">
      <w:pPr>
        <w:numPr>
          <w:ilvl w:val="1"/>
          <w:numId w:val="11"/>
        </w:numPr>
        <w:spacing w:before="120" w:after="120" w:line="240" w:lineRule="auto"/>
        <w:ind w:left="1434" w:hanging="357"/>
        <w:jc w:val="both"/>
      </w:pPr>
      <w:hyperlink r:id="rId27">
        <w:r w:rsidR="00BB6ED2">
          <w:rPr>
            <w:color w:val="1155CC"/>
            <w:u w:val="single"/>
          </w:rPr>
          <w:t>Ejemplo 7.</w:t>
        </w:r>
      </w:hyperlink>
    </w:p>
    <w:p w14:paraId="7D5C719C" w14:textId="77777777" w:rsidR="00BB6ED2" w:rsidRDefault="00045461" w:rsidP="00DD0CB5">
      <w:pPr>
        <w:numPr>
          <w:ilvl w:val="1"/>
          <w:numId w:val="11"/>
        </w:numPr>
        <w:spacing w:before="120" w:after="120" w:line="240" w:lineRule="auto"/>
        <w:ind w:left="1434" w:hanging="357"/>
        <w:jc w:val="both"/>
      </w:pPr>
      <w:hyperlink r:id="rId28">
        <w:r w:rsidR="00BB6ED2">
          <w:rPr>
            <w:color w:val="1155CC"/>
            <w:u w:val="single"/>
          </w:rPr>
          <w:t xml:space="preserve">Ejemplo 8. </w:t>
        </w:r>
      </w:hyperlink>
    </w:p>
    <w:p w14:paraId="5E7F5C90" w14:textId="08A1296D" w:rsidR="00BB6ED2" w:rsidRDefault="00BB6ED2" w:rsidP="00BB6ED2">
      <w:pPr>
        <w:numPr>
          <w:ilvl w:val="0"/>
          <w:numId w:val="11"/>
        </w:numPr>
        <w:spacing w:before="280" w:after="280" w:line="240" w:lineRule="auto"/>
        <w:jc w:val="both"/>
        <w:rPr>
          <w:color w:val="000000"/>
        </w:rPr>
      </w:pPr>
      <w:r>
        <w:rPr>
          <w:color w:val="000000"/>
        </w:rPr>
        <w:t>Usar datos concretos y experimentos sociales: Aunque tu intuición sobre el cambio cultural, como creativo publicitario, o comunicador, o miembro del equipo de trabajo del proyecto, es única, divertida y particular, puedes alimentarla aún más con datos de investigación y experimentos sociales que le darán a tu campaña todo el soporte científico necesario. Así, además de crear una campaña con un excelente diseño, redacción y producción, podrás construirla con base en un concepto muy bien argumentado y comprobado por la ciencia social. Esto podrá garantizar que el cambio cultural al que le apuntas con tu campaña tenga más posibilidad de ocurrir en realidad y no se quede solo en una frase o una imagen bonita.</w:t>
      </w:r>
    </w:p>
    <w:p w14:paraId="570EF9EC" w14:textId="77777777" w:rsidR="00BB6ED2" w:rsidRPr="00B52C08" w:rsidRDefault="00045461" w:rsidP="00B52C08">
      <w:pPr>
        <w:numPr>
          <w:ilvl w:val="1"/>
          <w:numId w:val="11"/>
        </w:numPr>
        <w:spacing w:before="120" w:after="120" w:line="240" w:lineRule="auto"/>
        <w:ind w:left="1434" w:hanging="357"/>
        <w:jc w:val="both"/>
        <w:rPr>
          <w:color w:val="1155CC"/>
          <w:u w:val="single"/>
        </w:rPr>
      </w:pPr>
      <w:hyperlink r:id="rId29">
        <w:r w:rsidR="00BB6ED2">
          <w:rPr>
            <w:color w:val="1155CC"/>
            <w:u w:val="single"/>
          </w:rPr>
          <w:t xml:space="preserve">Ejemplo 1. </w:t>
        </w:r>
      </w:hyperlink>
    </w:p>
    <w:p w14:paraId="7496A501" w14:textId="77777777" w:rsidR="00BB6ED2" w:rsidRPr="00B52C08" w:rsidRDefault="00045461" w:rsidP="00B52C08">
      <w:pPr>
        <w:numPr>
          <w:ilvl w:val="1"/>
          <w:numId w:val="11"/>
        </w:numPr>
        <w:spacing w:before="120" w:after="120" w:line="240" w:lineRule="auto"/>
        <w:ind w:left="1434" w:hanging="357"/>
        <w:jc w:val="both"/>
        <w:rPr>
          <w:color w:val="1155CC"/>
          <w:u w:val="single"/>
        </w:rPr>
      </w:pPr>
      <w:hyperlink r:id="rId30">
        <w:r w:rsidR="00BB6ED2">
          <w:rPr>
            <w:color w:val="1155CC"/>
            <w:u w:val="single"/>
          </w:rPr>
          <w:t>Ejemplo 2.</w:t>
        </w:r>
      </w:hyperlink>
    </w:p>
    <w:p w14:paraId="52450223" w14:textId="77777777" w:rsidR="00BB6ED2" w:rsidRPr="00B52C08" w:rsidRDefault="00045461" w:rsidP="00B52C08">
      <w:pPr>
        <w:numPr>
          <w:ilvl w:val="1"/>
          <w:numId w:val="11"/>
        </w:numPr>
        <w:spacing w:before="120" w:after="120" w:line="240" w:lineRule="auto"/>
        <w:ind w:left="1434" w:hanging="357"/>
        <w:jc w:val="both"/>
        <w:rPr>
          <w:color w:val="1155CC"/>
          <w:u w:val="single"/>
        </w:rPr>
      </w:pPr>
      <w:hyperlink r:id="rId31">
        <w:r w:rsidR="00BB6ED2">
          <w:rPr>
            <w:color w:val="1155CC"/>
            <w:u w:val="single"/>
          </w:rPr>
          <w:t>Ejemplo 3.</w:t>
        </w:r>
      </w:hyperlink>
    </w:p>
    <w:p w14:paraId="7A88F38A" w14:textId="0F5D962B" w:rsidR="005F21F7" w:rsidRPr="00B52C08" w:rsidRDefault="00045461" w:rsidP="00B52C08">
      <w:pPr>
        <w:numPr>
          <w:ilvl w:val="1"/>
          <w:numId w:val="11"/>
        </w:numPr>
        <w:spacing w:before="120" w:after="120" w:line="240" w:lineRule="auto"/>
        <w:ind w:left="1434" w:hanging="357"/>
        <w:jc w:val="both"/>
        <w:rPr>
          <w:color w:val="1155CC"/>
          <w:u w:val="single"/>
        </w:rPr>
      </w:pPr>
      <w:hyperlink r:id="rId32">
        <w:r w:rsidR="00BB6ED2">
          <w:rPr>
            <w:color w:val="1155CC"/>
            <w:u w:val="single"/>
          </w:rPr>
          <w:t>Ejemplo 4.</w:t>
        </w:r>
      </w:hyperlink>
    </w:p>
    <w:sectPr w:rsidR="005F21F7" w:rsidRPr="00B52C08" w:rsidSect="00947EAC">
      <w:footerReference w:type="default" r:id="rId33"/>
      <w:pgSz w:w="12240" w:h="15840"/>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87FF9" w14:textId="77777777" w:rsidR="00045461" w:rsidRPr="00F16299" w:rsidRDefault="00045461">
      <w:pPr>
        <w:spacing w:after="0" w:line="240" w:lineRule="auto"/>
      </w:pPr>
      <w:r w:rsidRPr="00F16299">
        <w:separator/>
      </w:r>
    </w:p>
  </w:endnote>
  <w:endnote w:type="continuationSeparator" w:id="0">
    <w:p w14:paraId="0BB8A246" w14:textId="77777777" w:rsidR="00045461" w:rsidRPr="00F16299" w:rsidRDefault="00045461">
      <w:pPr>
        <w:spacing w:after="0" w:line="240" w:lineRule="auto"/>
      </w:pPr>
      <w:r w:rsidRPr="00F162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B9BE" w14:textId="7FE2DDD7" w:rsidR="00700866" w:rsidRPr="002F069F" w:rsidRDefault="002F069F" w:rsidP="002F069F">
    <w:pPr>
      <w:pStyle w:val="Piedepgina"/>
      <w:jc w:val="right"/>
      <w:rPr>
        <w:sz w:val="16"/>
        <w:szCs w:val="16"/>
      </w:rPr>
    </w:pPr>
    <w:r w:rsidRPr="002F069F">
      <w:rPr>
        <w:sz w:val="16"/>
        <w:szCs w:val="16"/>
      </w:rPr>
      <w:t>Anexo 14 GCC-PT-01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19190" w14:textId="77777777" w:rsidR="00045461" w:rsidRPr="00F16299" w:rsidRDefault="00045461">
      <w:pPr>
        <w:spacing w:after="0" w:line="240" w:lineRule="auto"/>
      </w:pPr>
      <w:r w:rsidRPr="00F16299">
        <w:separator/>
      </w:r>
    </w:p>
  </w:footnote>
  <w:footnote w:type="continuationSeparator" w:id="0">
    <w:p w14:paraId="0E6575BD" w14:textId="77777777" w:rsidR="00045461" w:rsidRPr="00F16299" w:rsidRDefault="00045461">
      <w:pPr>
        <w:spacing w:after="0" w:line="240" w:lineRule="auto"/>
      </w:pPr>
      <w:r w:rsidRPr="00F1629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3DFA"/>
    <w:multiLevelType w:val="multilevel"/>
    <w:tmpl w:val="E10E61E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1B624F"/>
    <w:multiLevelType w:val="multilevel"/>
    <w:tmpl w:val="89D2B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6829FC"/>
    <w:multiLevelType w:val="multilevel"/>
    <w:tmpl w:val="DF66F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736635C"/>
    <w:multiLevelType w:val="multilevel"/>
    <w:tmpl w:val="0E902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677D5B"/>
    <w:multiLevelType w:val="multilevel"/>
    <w:tmpl w:val="C590C9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6F94C90"/>
    <w:multiLevelType w:val="multilevel"/>
    <w:tmpl w:val="D520D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CE138B"/>
    <w:multiLevelType w:val="multilevel"/>
    <w:tmpl w:val="ED1CEA8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5D6A3C"/>
    <w:multiLevelType w:val="multilevel"/>
    <w:tmpl w:val="949C92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FB1C97"/>
    <w:multiLevelType w:val="multilevel"/>
    <w:tmpl w:val="EAA44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8C0E68"/>
    <w:multiLevelType w:val="multilevel"/>
    <w:tmpl w:val="E22A2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E24B84"/>
    <w:multiLevelType w:val="multilevel"/>
    <w:tmpl w:val="7D9C69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6"/>
  </w:num>
  <w:num w:numId="3">
    <w:abstractNumId w:val="1"/>
  </w:num>
  <w:num w:numId="4">
    <w:abstractNumId w:val="7"/>
  </w:num>
  <w:num w:numId="5">
    <w:abstractNumId w:val="0"/>
  </w:num>
  <w:num w:numId="6">
    <w:abstractNumId w:val="2"/>
  </w:num>
  <w:num w:numId="7">
    <w:abstractNumId w:val="8"/>
  </w:num>
  <w:num w:numId="8">
    <w:abstractNumId w:val="9"/>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B7F"/>
    <w:rsid w:val="000164AD"/>
    <w:rsid w:val="00017544"/>
    <w:rsid w:val="00045461"/>
    <w:rsid w:val="00050028"/>
    <w:rsid w:val="000757CE"/>
    <w:rsid w:val="000A6844"/>
    <w:rsid w:val="00226C51"/>
    <w:rsid w:val="002F069F"/>
    <w:rsid w:val="00443E1B"/>
    <w:rsid w:val="004C1978"/>
    <w:rsid w:val="005C48A1"/>
    <w:rsid w:val="005F21F7"/>
    <w:rsid w:val="00700866"/>
    <w:rsid w:val="00703409"/>
    <w:rsid w:val="00730D3B"/>
    <w:rsid w:val="007D51C7"/>
    <w:rsid w:val="00924B7F"/>
    <w:rsid w:val="009259BD"/>
    <w:rsid w:val="00947EAC"/>
    <w:rsid w:val="009B5EDF"/>
    <w:rsid w:val="00A27C68"/>
    <w:rsid w:val="00A65CA0"/>
    <w:rsid w:val="00AF28A9"/>
    <w:rsid w:val="00B52C08"/>
    <w:rsid w:val="00B56F32"/>
    <w:rsid w:val="00BB6ED2"/>
    <w:rsid w:val="00C51B9E"/>
    <w:rsid w:val="00CC77A7"/>
    <w:rsid w:val="00D27D74"/>
    <w:rsid w:val="00DD0CB5"/>
    <w:rsid w:val="00ED1649"/>
    <w:rsid w:val="00F12173"/>
    <w:rsid w:val="00F16299"/>
    <w:rsid w:val="00F629AD"/>
    <w:rsid w:val="00F71E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B79B"/>
  <w15:docId w15:val="{70BF493D-66D8-4A8E-A2D4-160F1E97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167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7E71AF"/>
    <w:pPr>
      <w:ind w:left="720"/>
      <w:contextualSpacing/>
    </w:pPr>
  </w:style>
  <w:style w:type="paragraph" w:styleId="Textonotapie">
    <w:name w:val="footnote text"/>
    <w:basedOn w:val="Normal"/>
    <w:link w:val="TextonotapieCar"/>
    <w:uiPriority w:val="99"/>
    <w:semiHidden/>
    <w:unhideWhenUsed/>
    <w:rsid w:val="004C2F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2F6F"/>
    <w:rPr>
      <w:sz w:val="20"/>
      <w:szCs w:val="20"/>
      <w:lang w:val="en-GB"/>
    </w:rPr>
  </w:style>
  <w:style w:type="character" w:styleId="Refdenotaalpie">
    <w:name w:val="footnote reference"/>
    <w:basedOn w:val="Fuentedeprrafopredeter"/>
    <w:uiPriority w:val="99"/>
    <w:semiHidden/>
    <w:unhideWhenUsed/>
    <w:rsid w:val="004C2F6F"/>
    <w:rPr>
      <w:vertAlign w:val="superscript"/>
    </w:rPr>
  </w:style>
  <w:style w:type="character" w:customStyle="1" w:styleId="Ttulo1Car">
    <w:name w:val="Título 1 Car"/>
    <w:basedOn w:val="Fuentedeprrafopredeter"/>
    <w:link w:val="Ttulo1"/>
    <w:uiPriority w:val="9"/>
    <w:rsid w:val="001670B2"/>
    <w:rPr>
      <w:rFonts w:asciiTheme="majorHAnsi" w:eastAsiaTheme="majorEastAsia" w:hAnsiTheme="majorHAnsi" w:cstheme="majorBidi"/>
      <w:color w:val="2F5496" w:themeColor="accent1" w:themeShade="BF"/>
      <w:sz w:val="32"/>
      <w:szCs w:val="32"/>
      <w:lang w:val="en-GB"/>
    </w:rPr>
  </w:style>
  <w:style w:type="table" w:styleId="Tablaconcuadrcula">
    <w:name w:val="Table Grid"/>
    <w:basedOn w:val="Tablanormal"/>
    <w:uiPriority w:val="39"/>
    <w:rsid w:val="001D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28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28BB"/>
    <w:rPr>
      <w:lang w:val="en-GB"/>
    </w:rPr>
  </w:style>
  <w:style w:type="paragraph" w:styleId="Piedepgina">
    <w:name w:val="footer"/>
    <w:basedOn w:val="Normal"/>
    <w:link w:val="PiedepginaCar"/>
    <w:uiPriority w:val="99"/>
    <w:unhideWhenUsed/>
    <w:rsid w:val="00D228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8BB"/>
    <w:rPr>
      <w:lang w:val="en-GB"/>
    </w:rPr>
  </w:style>
  <w:style w:type="character" w:styleId="Hipervnculo">
    <w:name w:val="Hyperlink"/>
    <w:basedOn w:val="Fuentedeprrafopredeter"/>
    <w:uiPriority w:val="99"/>
    <w:unhideWhenUsed/>
    <w:rsid w:val="00696A05"/>
    <w:rPr>
      <w:color w:val="0563C1" w:themeColor="hyperlink"/>
      <w:u w:val="single"/>
    </w:rPr>
  </w:style>
  <w:style w:type="character" w:styleId="Mencinsinresolver">
    <w:name w:val="Unresolved Mention"/>
    <w:basedOn w:val="Fuentedeprrafopredeter"/>
    <w:uiPriority w:val="99"/>
    <w:semiHidden/>
    <w:unhideWhenUsed/>
    <w:rsid w:val="00696A0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paragraph" w:customStyle="1" w:styleId="Normal1">
    <w:name w:val="Normal1"/>
    <w:rsid w:val="007142D5"/>
    <w:pPr>
      <w:spacing w:after="0"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D3DA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D3DA9"/>
    <w:rPr>
      <w:rFonts w:ascii="Times New Roman" w:hAnsi="Times New Roman" w:cs="Times New Roman"/>
      <w:sz w:val="18"/>
      <w:szCs w:val="18"/>
      <w:lang w:val="en-GB"/>
    </w:rPr>
  </w:style>
  <w:style w:type="character" w:styleId="Nmerodepgina">
    <w:name w:val="page number"/>
    <w:basedOn w:val="Fuentedeprrafopredeter"/>
    <w:uiPriority w:val="99"/>
    <w:semiHidden/>
    <w:unhideWhenUsed/>
    <w:rsid w:val="0045394C"/>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BogotaEsCivica/status/1498450443571134467?s=20&amp;t=Cn5sDGKUIMNu4LUUWZM9oQ" TargetMode="External"/><Relationship Id="rId18" Type="http://schemas.openxmlformats.org/officeDocument/2006/relationships/hyperlink" Target="https://twitter.com/BogotaEsCivica/status/1523333152575574016?s=20&amp;t=Cn5sDGKUIMNu4LUUWZM9oQ" TargetMode="External"/><Relationship Id="rId26" Type="http://schemas.openxmlformats.org/officeDocument/2006/relationships/hyperlink" Target="https://twitter.com/BogotaEsCivica/status/1538978588854296576?s=20&amp;t=Cn5sDGKUIMNu4LUUWZM9oQ" TargetMode="External"/><Relationship Id="rId3" Type="http://schemas.openxmlformats.org/officeDocument/2006/relationships/numbering" Target="numbering.xml"/><Relationship Id="rId21" Type="http://schemas.openxmlformats.org/officeDocument/2006/relationships/hyperlink" Target="https://twitter.com/BogotaEsCivica/status/1552796796203765762?s=20&amp;t=Cn5sDGKUIMNu4LUUWZM9oQ"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witter.com/BogotaEsCivica/status/1502046520287408132?s=20&amp;t=Cn5sDGKUIMNu4LUUWZM9oQ" TargetMode="External"/><Relationship Id="rId17" Type="http://schemas.openxmlformats.org/officeDocument/2006/relationships/hyperlink" Target="https://twitter.com/BogotaEsCivica/status/1523383424433926144?s=20&amp;t=Cn5sDGKUIMNu4LUUWZM9oQ" TargetMode="External"/><Relationship Id="rId25" Type="http://schemas.openxmlformats.org/officeDocument/2006/relationships/hyperlink" Target="https://twitter.com/BogotaEsCivica/status/1540411938378743809?s=20&amp;t=Cn5sDGKUIMNu4LUUWZM9oQ"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witter.com/BogotaEsCivica/status/1476592060023115782?s=20&amp;t=Cn5sDGKUIMNu4LUUWZM9oQ" TargetMode="External"/><Relationship Id="rId20" Type="http://schemas.openxmlformats.org/officeDocument/2006/relationships/hyperlink" Target="https://twitter.com/BogotaEsCivica/status/1504246754732126208?s=20&amp;t=Cn5sDGKUIMNu4LUUWZM9oQ" TargetMode="External"/><Relationship Id="rId29" Type="http://schemas.openxmlformats.org/officeDocument/2006/relationships/hyperlink" Target="https://twitter.com/BogotaEsCivica/status/1523302122820886528?s=20&amp;t=Cn5sDGKUIMNu4LUUWZM9o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BogotaEsCivica/status/1502366522957783049?s=20&amp;t=Cn5sDGKUIMNu4LUUWZM9oQ" TargetMode="External"/><Relationship Id="rId24" Type="http://schemas.openxmlformats.org/officeDocument/2006/relationships/hyperlink" Target="https://twitter.com/BogotaEsCivica/status/1541113000882540552?s=20&amp;t=Cn5sDGKUIMNu4LUUWZM9oQ" TargetMode="External"/><Relationship Id="rId32" Type="http://schemas.openxmlformats.org/officeDocument/2006/relationships/hyperlink" Target="https://twitter.com/BogotaEsCivica/status/1555927378983010309?s=20&amp;t=Cn5sDGKUIMNu4LUUWZM9oQ" TargetMode="External"/><Relationship Id="rId5" Type="http://schemas.openxmlformats.org/officeDocument/2006/relationships/settings" Target="settings.xml"/><Relationship Id="rId15" Type="http://schemas.openxmlformats.org/officeDocument/2006/relationships/hyperlink" Target="https://twitter.com/SectorSalud/status/1476976453556207616?s=20&amp;t=Cn5sDGKUIMNu4LUUWZM9oQ" TargetMode="External"/><Relationship Id="rId23" Type="http://schemas.openxmlformats.org/officeDocument/2006/relationships/hyperlink" Target="https://twitter.com/BogotaEsCivica/status/1541160356843757574?s=20&amp;t=Cn5sDGKUIMNu4LUUWZM9oQ" TargetMode="External"/><Relationship Id="rId28" Type="http://schemas.openxmlformats.org/officeDocument/2006/relationships/hyperlink" Target="https://twitter.com/BogotaEsCivica/status/1523318807971852288?s=20&amp;t=Cn5sDGKUIMNu4LUUWZM9oQ" TargetMode="External"/><Relationship Id="rId10" Type="http://schemas.openxmlformats.org/officeDocument/2006/relationships/hyperlink" Target="https://twitter.com/BogotaEsCivica/status/1555930792035057667?s=20&amp;t=Cn5sDGKUIMNu4LUUWZM9oQ" TargetMode="External"/><Relationship Id="rId19" Type="http://schemas.openxmlformats.org/officeDocument/2006/relationships/hyperlink" Target="https://twitter.com/hmurrain/status/1520428027276103680?s=20&amp;t=Cn5sDGKUIMNu4LUUWZM9oQ" TargetMode="External"/><Relationship Id="rId31" Type="http://schemas.openxmlformats.org/officeDocument/2006/relationships/hyperlink" Target="https://twitter.com/BogotaEsCivica/status/1508896161192726535?s=20&amp;t=Cn5sDGKUIMNu4LUUWZM9oQ" TargetMode="External"/><Relationship Id="rId4" Type="http://schemas.openxmlformats.org/officeDocument/2006/relationships/styles" Target="styles.xml"/><Relationship Id="rId9" Type="http://schemas.openxmlformats.org/officeDocument/2006/relationships/hyperlink" Target="https://twitter.com/hmurrain/status/1527667373460926464?s=20&amp;t=Cn5sDGKUIMNu4LUUWZM9oQ" TargetMode="External"/><Relationship Id="rId14" Type="http://schemas.openxmlformats.org/officeDocument/2006/relationships/hyperlink" Target="https://twitter.com/BogotaEsCivica/status/1498369157930237952?s=20&amp;t=Cn5sDGKUIMNu4LUUWZM9oQ" TargetMode="External"/><Relationship Id="rId22" Type="http://schemas.openxmlformats.org/officeDocument/2006/relationships/hyperlink" Target="http://v" TargetMode="External"/><Relationship Id="rId27" Type="http://schemas.openxmlformats.org/officeDocument/2006/relationships/hyperlink" Target="https://twitter.com/BogotaEsCivica/status/1538601937482006529?s=20&amp;t=Cn5sDGKUIMNu4LUUWZM9oQ" TargetMode="External"/><Relationship Id="rId30" Type="http://schemas.openxmlformats.org/officeDocument/2006/relationships/hyperlink" Target="https://twitter.com/BogotaEsCivica/status/1512776089084448769?s=20&amp;t=Cn5sDGKUIMNu4LUUWZM9oQ"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1iou+RMQYMpd/RybCpm3ebuXAw==">CgMxLjAyDmguZHltNXQwamJ4dWwyMg5oLmZwZ2pjMG9ia3lmODIOaC5udDNkMXZnazc3eXEyDmgueWEweTE1MnRjYXhtMg5oLjJpbnJld2dmd2N6cjIOaC5nNHZvbDl6NGowMjg4AHIhMXpRTVVVSm1lMEVwU050OC00QVJUcXBndk1tS0RoVHEt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321225-A09B-4B05-9E8D-23B4BB37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González</dc:creator>
  <cp:lastModifiedBy>Lenovo</cp:lastModifiedBy>
  <cp:revision>2</cp:revision>
  <dcterms:created xsi:type="dcterms:W3CDTF">2023-11-16T15:05:00Z</dcterms:created>
  <dcterms:modified xsi:type="dcterms:W3CDTF">2023-11-16T15:05:00Z</dcterms:modified>
</cp:coreProperties>
</file>